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7BE" w:rsidRPr="003D66EE" w:rsidRDefault="00C127BE" w:rsidP="00C127BE">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3D66EE">
        <w:rPr>
          <w:rFonts w:ascii="Arial" w:hAnsi="Arial" w:cs="Arial"/>
          <w:b/>
          <w:bCs/>
          <w:noProof/>
          <w:sz w:val="24"/>
          <w:szCs w:val="24"/>
        </w:rPr>
        <w:t>3GPP TSG RAN WG1 Meeting #</w:t>
      </w:r>
      <w:r w:rsidRPr="003D66EE">
        <w:rPr>
          <w:rFonts w:ascii="Arial" w:eastAsia="MS Mincho" w:hAnsi="Arial" w:cs="Arial"/>
          <w:b/>
          <w:bCs/>
          <w:noProof/>
          <w:sz w:val="24"/>
          <w:szCs w:val="24"/>
          <w:lang w:eastAsia="ja-JP"/>
        </w:rPr>
        <w:t>86</w:t>
      </w:r>
      <w:r w:rsidRPr="003D66EE">
        <w:rPr>
          <w:rFonts w:ascii="Arial" w:eastAsia="MS Mincho" w:hAnsi="Arial" w:cs="Arial"/>
          <w:b/>
          <w:bCs/>
          <w:noProof/>
          <w:sz w:val="24"/>
          <w:szCs w:val="24"/>
          <w:lang w:eastAsia="ja-JP"/>
        </w:rPr>
        <w:tab/>
      </w:r>
      <w:r>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3D66EE">
        <w:rPr>
          <w:rFonts w:ascii="Arial" w:hAnsi="Arial" w:cs="Arial"/>
          <w:b/>
          <w:bCs/>
          <w:noProof/>
          <w:sz w:val="24"/>
          <w:szCs w:val="24"/>
        </w:rPr>
        <w:t>R1-</w:t>
      </w:r>
      <w:r w:rsidR="006E5179">
        <w:rPr>
          <w:rFonts w:ascii="Arial" w:hAnsi="Arial" w:cs="Arial"/>
          <w:b/>
          <w:bCs/>
          <w:noProof/>
          <w:sz w:val="24"/>
          <w:szCs w:val="24"/>
        </w:rPr>
        <w:t>167013</w:t>
      </w:r>
    </w:p>
    <w:p w:rsidR="00005DBD" w:rsidRDefault="00C127BE" w:rsidP="00C127BE">
      <w:pPr>
        <w:pStyle w:val="FootnoteText"/>
        <w:rPr>
          <w:rFonts w:ascii="Arial" w:hAnsi="Arial" w:cs="Arial"/>
          <w:b/>
          <w:bCs/>
          <w:noProof/>
          <w:sz w:val="24"/>
          <w:szCs w:val="24"/>
        </w:rPr>
      </w:pPr>
      <w:r w:rsidRPr="003D66EE">
        <w:rPr>
          <w:rFonts w:ascii="Arial" w:hAnsi="Arial" w:cs="Arial"/>
          <w:b/>
          <w:bCs/>
          <w:noProof/>
          <w:sz w:val="24"/>
          <w:szCs w:val="24"/>
        </w:rPr>
        <w:t>Gothenburg, Sweden, 22-26 August 2016</w:t>
      </w:r>
    </w:p>
    <w:p w:rsidR="00C127BE" w:rsidRPr="00226CA3" w:rsidRDefault="00C127BE" w:rsidP="00C127BE">
      <w:pPr>
        <w:pStyle w:val="FootnoteText"/>
        <w:rPr>
          <w:lang w:val="en-US"/>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3A5F02">
        <w:rPr>
          <w:sz w:val="20"/>
          <w:lang w:val="en-US"/>
        </w:rPr>
        <w:t>Subchannel</w:t>
      </w:r>
      <w:r w:rsidR="00D32CFC">
        <w:rPr>
          <w:sz w:val="20"/>
          <w:lang w:val="en-US"/>
        </w:rPr>
        <w:t>ization</w:t>
      </w:r>
      <w:r w:rsidR="003A5F02">
        <w:rPr>
          <w:sz w:val="20"/>
          <w:lang w:val="en-US"/>
        </w:rPr>
        <w:t xml:space="preserve"> </w:t>
      </w:r>
      <w:r w:rsidR="00AE421F">
        <w:rPr>
          <w:sz w:val="20"/>
          <w:lang w:val="en-US"/>
        </w:rPr>
        <w:t xml:space="preserve">and measurements for sensing for </w:t>
      </w:r>
      <w:r w:rsidR="00032B63">
        <w:rPr>
          <w:sz w:val="20"/>
          <w:lang w:val="en-US"/>
        </w:rPr>
        <w:t>V2V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057AD1">
        <w:rPr>
          <w:sz w:val="20"/>
          <w:lang w:val="en-US"/>
        </w:rPr>
        <w:t>7.2.2.2.1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335A3F" w:rsidRPr="009D7649" w:rsidRDefault="00335A3F" w:rsidP="005360AD">
      <w:pPr>
        <w:pStyle w:val="BodyText"/>
        <w:spacing w:after="240"/>
        <w:jc w:val="both"/>
        <w:rPr>
          <w:sz w:val="20"/>
          <w:szCs w:val="20"/>
        </w:rPr>
      </w:pPr>
      <w:r w:rsidRPr="009D7649">
        <w:rPr>
          <w:sz w:val="20"/>
          <w:szCs w:val="20"/>
        </w:rPr>
        <w:t>RAN1 #8</w:t>
      </w:r>
      <w:r w:rsidR="00C127BE">
        <w:rPr>
          <w:sz w:val="20"/>
          <w:szCs w:val="20"/>
        </w:rPr>
        <w:t>5</w:t>
      </w:r>
      <w:r w:rsidR="003A5F02">
        <w:rPr>
          <w:sz w:val="20"/>
          <w:szCs w:val="20"/>
        </w:rPr>
        <w:t xml:space="preserve"> has discussed </w:t>
      </w:r>
      <w:r w:rsidR="00197004">
        <w:rPr>
          <w:sz w:val="20"/>
          <w:szCs w:val="20"/>
        </w:rPr>
        <w:t>the following</w:t>
      </w:r>
      <w:r w:rsidR="003A5F02">
        <w:rPr>
          <w:sz w:val="20"/>
          <w:szCs w:val="20"/>
        </w:rPr>
        <w:t xml:space="preserve"> proposal regarding subchannelization </w:t>
      </w:r>
      <w:r w:rsidR="00197004">
        <w:rPr>
          <w:sz w:val="20"/>
          <w:szCs w:val="20"/>
        </w:rPr>
        <w:t>for V2V over PC5</w:t>
      </w:r>
      <w:r w:rsidR="00DE4F23" w:rsidRPr="009D7649">
        <w:rPr>
          <w:sz w:val="20"/>
          <w:szCs w:val="20"/>
        </w:rPr>
        <w:t>:</w:t>
      </w:r>
    </w:p>
    <w:p w:rsidR="00C127BE" w:rsidRPr="00C127BE" w:rsidRDefault="00C127BE" w:rsidP="00C127BE">
      <w:pPr>
        <w:rPr>
          <w:rFonts w:eastAsia="Malgun Gothic"/>
          <w:i/>
          <w:iCs/>
        </w:rPr>
      </w:pPr>
      <w:r w:rsidRPr="00C127BE">
        <w:rPr>
          <w:rFonts w:eastAsia="Malgun Gothic" w:hint="eastAsia"/>
          <w:i/>
          <w:iCs/>
        </w:rPr>
        <w:t>Proposed agreements:</w:t>
      </w:r>
    </w:p>
    <w:p w:rsidR="00C127BE" w:rsidRPr="00C127BE" w:rsidRDefault="00C127BE" w:rsidP="00C127BE">
      <w:pPr>
        <w:numPr>
          <w:ilvl w:val="0"/>
          <w:numId w:val="62"/>
        </w:numPr>
        <w:spacing w:after="0"/>
        <w:rPr>
          <w:rFonts w:eastAsia="Malgun Gothic"/>
          <w:i/>
          <w:iCs/>
        </w:rPr>
      </w:pPr>
      <w:r w:rsidRPr="00C127BE">
        <w:rPr>
          <w:rFonts w:eastAsia="Malgun Gothic"/>
          <w:i/>
          <w:iCs/>
        </w:rPr>
        <w:t xml:space="preserve">Sub-channelization is supported for PSSCH. </w:t>
      </w:r>
    </w:p>
    <w:p w:rsidR="00C127BE" w:rsidRPr="00C127BE" w:rsidRDefault="00C127BE" w:rsidP="00C127BE">
      <w:pPr>
        <w:numPr>
          <w:ilvl w:val="1"/>
          <w:numId w:val="62"/>
        </w:numPr>
        <w:spacing w:after="0"/>
        <w:rPr>
          <w:rFonts w:eastAsia="Malgun Gothic"/>
          <w:i/>
          <w:iCs/>
        </w:rPr>
      </w:pPr>
      <w:r w:rsidRPr="00C127BE">
        <w:rPr>
          <w:rFonts w:eastAsia="Malgun Gothic"/>
          <w:i/>
          <w:iCs/>
        </w:rPr>
        <w:t xml:space="preserve">A sub-channel consists of a group of RBs in a same subframe. </w:t>
      </w:r>
    </w:p>
    <w:p w:rsidR="00C127BE" w:rsidRPr="00C127BE" w:rsidRDefault="00C127BE" w:rsidP="00C127BE">
      <w:pPr>
        <w:numPr>
          <w:ilvl w:val="1"/>
          <w:numId w:val="62"/>
        </w:numPr>
        <w:spacing w:after="0"/>
        <w:rPr>
          <w:rFonts w:eastAsia="Malgun Gothic"/>
          <w:i/>
          <w:iCs/>
        </w:rPr>
      </w:pPr>
      <w:r w:rsidRPr="00C127BE">
        <w:rPr>
          <w:rFonts w:eastAsia="Malgun Gothic"/>
          <w:i/>
          <w:iCs/>
        </w:rPr>
        <w:t>The sub-channel size in a resource pool can be configured by eNB or preconfigured.</w:t>
      </w:r>
    </w:p>
    <w:p w:rsidR="00C127BE" w:rsidRPr="00C127BE" w:rsidRDefault="00C127BE" w:rsidP="00C127BE">
      <w:pPr>
        <w:numPr>
          <w:ilvl w:val="2"/>
          <w:numId w:val="62"/>
        </w:numPr>
        <w:spacing w:after="0"/>
        <w:rPr>
          <w:rFonts w:eastAsia="Malgun Gothic"/>
          <w:i/>
          <w:iCs/>
        </w:rPr>
      </w:pPr>
      <w:r w:rsidRPr="00C127BE">
        <w:rPr>
          <w:rFonts w:eastAsia="Malgun Gothic"/>
          <w:i/>
          <w:iCs/>
        </w:rPr>
        <w:t xml:space="preserve">Candidate sub-channel sizes are FFS.  </w:t>
      </w:r>
    </w:p>
    <w:p w:rsidR="00C127BE" w:rsidRPr="00C127BE" w:rsidRDefault="00C127BE" w:rsidP="00C127BE">
      <w:pPr>
        <w:numPr>
          <w:ilvl w:val="1"/>
          <w:numId w:val="62"/>
        </w:numPr>
        <w:spacing w:after="0"/>
        <w:rPr>
          <w:rFonts w:eastAsia="Malgun Gothic"/>
          <w:i/>
          <w:iCs/>
        </w:rPr>
      </w:pPr>
      <w:r w:rsidRPr="00C127BE">
        <w:rPr>
          <w:rFonts w:eastAsia="Malgun Gothic"/>
          <w:i/>
          <w:iCs/>
        </w:rPr>
        <w:t xml:space="preserve">Sub-channel size is the same in a resource pool. </w:t>
      </w:r>
    </w:p>
    <w:p w:rsidR="00C127BE" w:rsidRPr="00C127BE" w:rsidRDefault="00C127BE" w:rsidP="00C127BE">
      <w:pPr>
        <w:numPr>
          <w:ilvl w:val="1"/>
          <w:numId w:val="62"/>
        </w:numPr>
        <w:spacing w:after="0"/>
        <w:rPr>
          <w:rFonts w:eastAsia="Malgun Gothic"/>
          <w:i/>
          <w:iCs/>
        </w:rPr>
      </w:pPr>
      <w:r w:rsidRPr="00C127BE">
        <w:rPr>
          <w:rFonts w:eastAsia="Malgun Gothic"/>
          <w:i/>
          <w:iCs/>
        </w:rPr>
        <w:t>Different sub-channels have disjoint group of adjacent RBs.</w:t>
      </w:r>
    </w:p>
    <w:p w:rsidR="00C127BE" w:rsidRPr="00C127BE" w:rsidRDefault="00C127BE" w:rsidP="00C127BE">
      <w:pPr>
        <w:numPr>
          <w:ilvl w:val="2"/>
          <w:numId w:val="62"/>
        </w:numPr>
        <w:spacing w:after="0"/>
        <w:rPr>
          <w:rFonts w:eastAsia="Malgun Gothic"/>
          <w:i/>
          <w:iCs/>
        </w:rPr>
      </w:pPr>
      <w:r w:rsidRPr="00D92ED1">
        <w:rPr>
          <w:rFonts w:eastAsia="Malgun Gothic"/>
          <w:i/>
          <w:iCs/>
        </w:rPr>
        <w:t>FFS whether different formation of sub-channels is needed if multi-cluster transmission is supported.</w:t>
      </w:r>
      <w:r w:rsidRPr="00C127BE">
        <w:rPr>
          <w:rFonts w:eastAsia="Malgun Gothic"/>
          <w:i/>
          <w:iCs/>
        </w:rPr>
        <w:t xml:space="preserve"> </w:t>
      </w:r>
    </w:p>
    <w:p w:rsidR="00C127BE" w:rsidRPr="00C127BE" w:rsidRDefault="00C127BE" w:rsidP="00C127BE">
      <w:pPr>
        <w:numPr>
          <w:ilvl w:val="0"/>
          <w:numId w:val="62"/>
        </w:numPr>
        <w:spacing w:after="0"/>
        <w:rPr>
          <w:rFonts w:eastAsia="Malgun Gothic"/>
          <w:i/>
          <w:iCs/>
        </w:rPr>
      </w:pPr>
      <w:r w:rsidRPr="00C127BE">
        <w:rPr>
          <w:rFonts w:eastAsia="Malgun Gothic"/>
          <w:i/>
          <w:iCs/>
        </w:rPr>
        <w:t xml:space="preserve">Energy sensing granularity of PSSCH is based on the size of sub-channel. </w:t>
      </w:r>
    </w:p>
    <w:p w:rsidR="00C127BE" w:rsidRPr="00C127BE" w:rsidRDefault="00C127BE" w:rsidP="00C127BE">
      <w:pPr>
        <w:numPr>
          <w:ilvl w:val="0"/>
          <w:numId w:val="62"/>
        </w:numPr>
        <w:spacing w:after="0"/>
        <w:rPr>
          <w:rFonts w:eastAsia="Malgun Gothic"/>
          <w:i/>
          <w:iCs/>
        </w:rPr>
      </w:pPr>
      <w:r w:rsidRPr="00C127BE">
        <w:rPr>
          <w:rFonts w:eastAsia="Malgun Gothic"/>
          <w:i/>
          <w:iCs/>
        </w:rPr>
        <w:t>The UE always (re)selects an integer number of subchannels for transmission.</w:t>
      </w:r>
    </w:p>
    <w:p w:rsidR="00C127BE" w:rsidRPr="00C127BE" w:rsidRDefault="00C127BE" w:rsidP="00C127BE">
      <w:pPr>
        <w:numPr>
          <w:ilvl w:val="0"/>
          <w:numId w:val="62"/>
        </w:numPr>
        <w:spacing w:after="0"/>
        <w:rPr>
          <w:rFonts w:eastAsia="Malgun Gothic"/>
          <w:i/>
          <w:iCs/>
        </w:rPr>
      </w:pPr>
      <w:r w:rsidRPr="00C127BE">
        <w:rPr>
          <w:rFonts w:eastAsia="Malgun Gothic"/>
          <w:i/>
          <w:iCs/>
        </w:rPr>
        <w:t>The UE always transmits on an integer number of subchannels.</w:t>
      </w:r>
    </w:p>
    <w:p w:rsidR="00C127BE" w:rsidRDefault="00C127BE" w:rsidP="00C127BE">
      <w:pPr>
        <w:rPr>
          <w:rFonts w:eastAsia="Malgun Gothic"/>
          <w:i/>
          <w:iCs/>
        </w:rPr>
      </w:pPr>
      <w:r w:rsidRPr="00C127BE">
        <w:rPr>
          <w:rFonts w:eastAsia="Malgun Gothic" w:hint="eastAsia"/>
          <w:i/>
          <w:iCs/>
        </w:rPr>
        <w:t>Continue discussion.</w:t>
      </w:r>
    </w:p>
    <w:p w:rsidR="00197004" w:rsidRDefault="00197004" w:rsidP="00C127BE">
      <w:pPr>
        <w:rPr>
          <w:rFonts w:eastAsia="Malgun Gothic"/>
          <w:iCs/>
        </w:rPr>
      </w:pPr>
      <w:r>
        <w:rPr>
          <w:rFonts w:eastAsia="Malgun Gothic"/>
          <w:i/>
          <w:iCs/>
        </w:rPr>
        <w:t>RAN1 #85 also reached an agreement that may require SA and data transmission, when transmitted in the same subframe, to be transmitted in adjacent RBs.</w:t>
      </w:r>
    </w:p>
    <w:p w:rsidR="00335A3F" w:rsidRDefault="00264D33" w:rsidP="005360AD">
      <w:pPr>
        <w:pStyle w:val="BodyText"/>
        <w:spacing w:after="240"/>
        <w:jc w:val="both"/>
        <w:rPr>
          <w:sz w:val="20"/>
          <w:szCs w:val="20"/>
        </w:rPr>
      </w:pPr>
      <w:r w:rsidRPr="009D7649">
        <w:rPr>
          <w:sz w:val="20"/>
          <w:szCs w:val="20"/>
        </w:rPr>
        <w:t xml:space="preserve">In this paper we </w:t>
      </w:r>
      <w:r w:rsidR="003A5F02">
        <w:rPr>
          <w:sz w:val="20"/>
          <w:szCs w:val="20"/>
        </w:rPr>
        <w:t xml:space="preserve">continue the </w:t>
      </w:r>
      <w:r w:rsidRPr="009D7649">
        <w:rPr>
          <w:sz w:val="20"/>
          <w:szCs w:val="20"/>
        </w:rPr>
        <w:t>discuss</w:t>
      </w:r>
      <w:r w:rsidR="003A5F02">
        <w:rPr>
          <w:sz w:val="20"/>
          <w:szCs w:val="20"/>
        </w:rPr>
        <w:t>ion</w:t>
      </w:r>
      <w:r w:rsidRPr="009D7649">
        <w:rPr>
          <w:sz w:val="20"/>
          <w:szCs w:val="20"/>
        </w:rPr>
        <w:t xml:space="preserve"> </w:t>
      </w:r>
      <w:r w:rsidR="003A5F02">
        <w:rPr>
          <w:sz w:val="20"/>
          <w:szCs w:val="20"/>
        </w:rPr>
        <w:t xml:space="preserve">on subchannelization and </w:t>
      </w:r>
      <w:r w:rsidR="00057AD1">
        <w:rPr>
          <w:sz w:val="20"/>
          <w:szCs w:val="20"/>
        </w:rPr>
        <w:t>some</w:t>
      </w:r>
      <w:r w:rsidR="00057AD1" w:rsidRPr="009D7649">
        <w:rPr>
          <w:sz w:val="20"/>
          <w:szCs w:val="20"/>
        </w:rPr>
        <w:t xml:space="preserve"> </w:t>
      </w:r>
      <w:r w:rsidR="00A677A0" w:rsidRPr="009D7649">
        <w:rPr>
          <w:sz w:val="20"/>
          <w:szCs w:val="20"/>
        </w:rPr>
        <w:t xml:space="preserve">issues regarding </w:t>
      </w:r>
      <w:r w:rsidR="006D7F7F">
        <w:rPr>
          <w:sz w:val="20"/>
          <w:szCs w:val="20"/>
        </w:rPr>
        <w:t>power</w:t>
      </w:r>
      <w:r w:rsidR="006D7F7F" w:rsidRPr="009D7649">
        <w:rPr>
          <w:sz w:val="20"/>
          <w:szCs w:val="20"/>
        </w:rPr>
        <w:t xml:space="preserve"> </w:t>
      </w:r>
      <w:r w:rsidR="00A677A0" w:rsidRPr="009D7649">
        <w:rPr>
          <w:sz w:val="20"/>
          <w:szCs w:val="20"/>
        </w:rPr>
        <w:t>measurement</w:t>
      </w:r>
      <w:r w:rsidR="009445A3">
        <w:rPr>
          <w:sz w:val="20"/>
          <w:szCs w:val="20"/>
        </w:rPr>
        <w:t xml:space="preserve"> for sensing</w:t>
      </w:r>
      <w:r w:rsidR="00A677A0" w:rsidRPr="009D7649">
        <w:rPr>
          <w:sz w:val="20"/>
          <w:szCs w:val="20"/>
        </w:rPr>
        <w:t>.</w:t>
      </w:r>
      <w:r w:rsidR="00AE421F">
        <w:rPr>
          <w:sz w:val="20"/>
          <w:szCs w:val="20"/>
        </w:rPr>
        <w:t xml:space="preserve"> </w:t>
      </w:r>
    </w:p>
    <w:p w:rsidR="009445A3" w:rsidRDefault="002926CC" w:rsidP="001C33A7">
      <w:pPr>
        <w:pStyle w:val="Heading1"/>
      </w:pPr>
      <w:bookmarkStart w:id="3" w:name="_Ref458521846"/>
      <w:r>
        <w:t>Subchannel</w:t>
      </w:r>
      <w:r w:rsidR="00C369E1">
        <w:t>ization</w:t>
      </w:r>
      <w:bookmarkStart w:id="4" w:name="_GoBack"/>
      <w:bookmarkEnd w:id="3"/>
      <w:bookmarkEnd w:id="4"/>
    </w:p>
    <w:p w:rsidR="00D92ED1" w:rsidRDefault="00D92ED1" w:rsidP="00057AD1">
      <w:pPr>
        <w:jc w:val="both"/>
      </w:pPr>
      <w:bookmarkStart w:id="5" w:name="_Ref456705525"/>
      <w:r>
        <w:t xml:space="preserve">Sections </w:t>
      </w:r>
      <w:r>
        <w:fldChar w:fldCharType="begin"/>
      </w:r>
      <w:r>
        <w:instrText xml:space="preserve"> REF _Ref457907493 \r \h </w:instrText>
      </w:r>
      <w:r>
        <w:fldChar w:fldCharType="separate"/>
      </w:r>
      <w:r w:rsidR="00057AD1">
        <w:t>2.1</w:t>
      </w:r>
      <w:r>
        <w:fldChar w:fldCharType="end"/>
      </w:r>
      <w:r>
        <w:t xml:space="preserve"> to </w:t>
      </w:r>
      <w:r>
        <w:fldChar w:fldCharType="begin"/>
      </w:r>
      <w:r>
        <w:instrText xml:space="preserve"> REF _Ref457907507 \r \h </w:instrText>
      </w:r>
      <w:r>
        <w:fldChar w:fldCharType="separate"/>
      </w:r>
      <w:r w:rsidR="00057AD1">
        <w:t>2.3</w:t>
      </w:r>
      <w:r>
        <w:fldChar w:fldCharType="end"/>
      </w:r>
      <w:r>
        <w:t xml:space="preserve"> discuss the subchannelization for the pool configuration that requires SA and data pools to be disjoint. Section </w:t>
      </w:r>
      <w:r>
        <w:fldChar w:fldCharType="begin"/>
      </w:r>
      <w:r>
        <w:instrText xml:space="preserve"> REF _Ref457906329 \r \h </w:instrText>
      </w:r>
      <w:r>
        <w:fldChar w:fldCharType="separate"/>
      </w:r>
      <w:r w:rsidR="00057AD1">
        <w:t>2.4</w:t>
      </w:r>
      <w:r>
        <w:fldChar w:fldCharType="end"/>
      </w:r>
      <w:r>
        <w:t xml:space="preserve"> discusses</w:t>
      </w:r>
      <w:r w:rsidR="00434E10">
        <w:t xml:space="preserve"> subchannelization for the other case, namely </w:t>
      </w:r>
      <w:r>
        <w:t>pool configuration that allows SA and data pools to overlap.</w:t>
      </w:r>
      <w:r w:rsidR="004272ED">
        <w:t xml:space="preserve"> </w:t>
      </w:r>
      <w:r w:rsidR="00057AD1">
        <w:t>P</w:t>
      </w:r>
      <w:r w:rsidR="004272ED">
        <w:t xml:space="preserve">roposals are </w:t>
      </w:r>
      <w:r w:rsidR="00057AD1">
        <w:t xml:space="preserve">collectively </w:t>
      </w:r>
      <w:r w:rsidR="004272ED">
        <w:t>presented at the end of the section.</w:t>
      </w:r>
    </w:p>
    <w:p w:rsidR="00E57F33" w:rsidRDefault="00E57F33" w:rsidP="00057AD1">
      <w:pPr>
        <w:jc w:val="both"/>
      </w:pPr>
      <w:r w:rsidRPr="000B142C">
        <w:t>Note that we do not support multicluster transmission, hence we see no need to discuss subchannelization in multicluster scenario.</w:t>
      </w:r>
    </w:p>
    <w:p w:rsidR="00083158" w:rsidRDefault="00083158" w:rsidP="00083158">
      <w:pPr>
        <w:pStyle w:val="Heading2"/>
        <w:tabs>
          <w:tab w:val="clear" w:pos="576"/>
          <w:tab w:val="num" w:pos="718"/>
        </w:tabs>
        <w:ind w:left="718"/>
      </w:pPr>
      <w:bookmarkStart w:id="6" w:name="_Ref457907493"/>
      <w:r>
        <w:t>Data resources</w:t>
      </w:r>
      <w:bookmarkEnd w:id="5"/>
      <w:bookmarkEnd w:id="6"/>
    </w:p>
    <w:p w:rsidR="00083158" w:rsidRDefault="00083158" w:rsidP="00083158">
      <w:pPr>
        <w:jc w:val="both"/>
      </w:pPr>
      <w:r>
        <w:t xml:space="preserve">In order to reduce the problem of bandwidth fragmentation, we believe that it is necessary to introduce restrictions on the use of the bandwidth. More specifically, we propose that the part of system bandwidth dedicated to transmission of data packets be divided into </w:t>
      </w:r>
      <w:r w:rsidR="0060086D">
        <w:t>subchannels</w:t>
      </w:r>
      <w:r>
        <w:t xml:space="preserve">. That is, a UE would be allowed to transmit using the entire bandwidth; or using one of two non-overlapping half-bandwidth </w:t>
      </w:r>
      <w:r w:rsidR="0060086D">
        <w:t>subchannels</w:t>
      </w:r>
      <w:r>
        <w:t xml:space="preserve">; or using one of four non-overlapping quarter-bandwidth </w:t>
      </w:r>
      <w:r w:rsidR="0060086D">
        <w:t>subchannels,</w:t>
      </w:r>
      <w:r>
        <w:t xml:space="preserve"> etc. We illustrate this in </w:t>
      </w:r>
      <w:r>
        <w:fldChar w:fldCharType="begin"/>
      </w:r>
      <w:r>
        <w:instrText xml:space="preserve"> REF _Ref450831301 \h </w:instrText>
      </w:r>
      <w:r>
        <w:fldChar w:fldCharType="separate"/>
      </w:r>
      <w:r w:rsidR="00057AD1">
        <w:t xml:space="preserve">Figure </w:t>
      </w:r>
      <w:r w:rsidR="00057AD1">
        <w:rPr>
          <w:noProof/>
        </w:rPr>
        <w:t>1</w:t>
      </w:r>
      <w:r>
        <w:fldChar w:fldCharType="end"/>
      </w:r>
      <w:r>
        <w:t xml:space="preserve">. </w:t>
      </w:r>
    </w:p>
    <w:p w:rsidR="00083158" w:rsidRDefault="00083158" w:rsidP="00083158">
      <w:pPr>
        <w:jc w:val="both"/>
      </w:pPr>
      <w:r>
        <w:t xml:space="preserve">The division of the system bandwidth into </w:t>
      </w:r>
      <w:r w:rsidR="0060086D">
        <w:t xml:space="preserve">subchannels </w:t>
      </w:r>
      <w:r>
        <w:t>is also beneficial for sensing from a complexity point of view. Moreover, the control signaling overhead is also reduced.</w:t>
      </w:r>
    </w:p>
    <w:p w:rsidR="00083158" w:rsidRDefault="00083158" w:rsidP="00083158">
      <w:pPr>
        <w:keepNext/>
        <w:jc w:val="center"/>
      </w:pPr>
      <w:r>
        <w:rPr>
          <w:noProof/>
          <w:lang w:val="en-US"/>
        </w:rPr>
        <w:lastRenderedPageBreak/>
        <w:drawing>
          <wp:inline distT="0" distB="0" distL="0" distR="0" wp14:anchorId="0CB93A24" wp14:editId="38F83DE3">
            <wp:extent cx="4320000" cy="1497184"/>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1497184"/>
                    </a:xfrm>
                    <a:prstGeom prst="rect">
                      <a:avLst/>
                    </a:prstGeom>
                    <a:noFill/>
                  </pic:spPr>
                </pic:pic>
              </a:graphicData>
            </a:graphic>
          </wp:inline>
        </w:drawing>
      </w:r>
    </w:p>
    <w:p w:rsidR="00083158" w:rsidRDefault="00083158" w:rsidP="00083158">
      <w:pPr>
        <w:pStyle w:val="Caption"/>
        <w:jc w:val="center"/>
      </w:pPr>
      <w:bookmarkStart w:id="7" w:name="_Ref450831301"/>
      <w:r>
        <w:t>Figure</w:t>
      </w:r>
      <w:r w:rsidR="00C9049E">
        <w:t xml:space="preserve"> </w:t>
      </w:r>
      <w:r>
        <w:fldChar w:fldCharType="begin"/>
      </w:r>
      <w:r>
        <w:instrText xml:space="preserve"> SEQ Figure \* ARABIC </w:instrText>
      </w:r>
      <w:r>
        <w:fldChar w:fldCharType="separate"/>
      </w:r>
      <w:r w:rsidR="00057AD1">
        <w:rPr>
          <w:noProof/>
        </w:rPr>
        <w:t>1</w:t>
      </w:r>
      <w:r>
        <w:fldChar w:fldCharType="end"/>
      </w:r>
      <w:bookmarkEnd w:id="7"/>
      <w:r>
        <w:t>. Division of the part of the system bandwidth that is dedicated to transmission of data packets in</w:t>
      </w:r>
      <w:r w:rsidR="002A6ED5">
        <w:t>to</w:t>
      </w:r>
      <w:r>
        <w:t xml:space="preserve"> </w:t>
      </w:r>
      <w:r w:rsidR="0060086D">
        <w:t>subchannels</w:t>
      </w:r>
      <w:r>
        <w:t>.</w:t>
      </w:r>
    </w:p>
    <w:p w:rsidR="00083158" w:rsidRDefault="00083158" w:rsidP="00083158">
      <w:pPr>
        <w:pStyle w:val="Heading2"/>
        <w:tabs>
          <w:tab w:val="clear" w:pos="576"/>
          <w:tab w:val="num" w:pos="718"/>
        </w:tabs>
        <w:ind w:left="718"/>
      </w:pPr>
      <w:bookmarkStart w:id="8" w:name="_Ref456705538"/>
      <w:r>
        <w:t>SA resources</w:t>
      </w:r>
      <w:bookmarkEnd w:id="8"/>
    </w:p>
    <w:p w:rsidR="00083158" w:rsidRPr="008F178D" w:rsidRDefault="00083158" w:rsidP="00083158">
      <w:pPr>
        <w:jc w:val="both"/>
      </w:pPr>
      <w:r>
        <w:t>RAN1 has agreed that the number of RBs used in the transmission of an SA be fixed</w:t>
      </w:r>
      <w:r w:rsidR="00A77D3E">
        <w:t>, particularly be 2 consecutive PRB pairs in a subframe if the number of SA bits is less than 64 including CRC (RAN1#85)</w:t>
      </w:r>
      <w:r>
        <w:t xml:space="preserve">. Consequently, it is reasonable to divide the part of the system bandwidth into non-overlapping </w:t>
      </w:r>
      <w:r w:rsidR="0060086D">
        <w:t xml:space="preserve">subchannels </w:t>
      </w:r>
      <w:r>
        <w:t xml:space="preserve">with the same size as the </w:t>
      </w:r>
      <w:r w:rsidR="00DA06BC">
        <w:t xml:space="preserve">size of </w:t>
      </w:r>
      <w:r w:rsidR="004272ED">
        <w:t xml:space="preserve">the </w:t>
      </w:r>
      <w:r>
        <w:t xml:space="preserve">SA. We illustrate this in </w:t>
      </w:r>
      <w:r>
        <w:fldChar w:fldCharType="begin"/>
      </w:r>
      <w:r>
        <w:instrText xml:space="preserve"> REF _Ref450831313 \h </w:instrText>
      </w:r>
      <w:r>
        <w:fldChar w:fldCharType="separate"/>
      </w:r>
      <w:r w:rsidR="00057AD1">
        <w:t xml:space="preserve">Figure </w:t>
      </w:r>
      <w:r w:rsidR="00057AD1">
        <w:rPr>
          <w:noProof/>
        </w:rPr>
        <w:t>2</w:t>
      </w:r>
      <w:r>
        <w:fldChar w:fldCharType="end"/>
      </w:r>
      <w:r>
        <w:t>.</w:t>
      </w:r>
    </w:p>
    <w:p w:rsidR="00083158" w:rsidRDefault="00083158" w:rsidP="00083158">
      <w:pPr>
        <w:keepNext/>
        <w:jc w:val="center"/>
      </w:pPr>
      <w:r>
        <w:rPr>
          <w:noProof/>
          <w:lang w:val="en-US"/>
        </w:rPr>
        <w:drawing>
          <wp:inline distT="0" distB="0" distL="0" distR="0" wp14:anchorId="266AF9E5" wp14:editId="71018428">
            <wp:extent cx="4320000" cy="120542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1205424"/>
                    </a:xfrm>
                    <a:prstGeom prst="rect">
                      <a:avLst/>
                    </a:prstGeom>
                    <a:noFill/>
                  </pic:spPr>
                </pic:pic>
              </a:graphicData>
            </a:graphic>
          </wp:inline>
        </w:drawing>
      </w:r>
    </w:p>
    <w:p w:rsidR="00083158" w:rsidRDefault="00083158" w:rsidP="00083158">
      <w:pPr>
        <w:pStyle w:val="Caption"/>
        <w:jc w:val="center"/>
      </w:pPr>
      <w:bookmarkStart w:id="9" w:name="_Ref450831313"/>
      <w:r>
        <w:t xml:space="preserve">Figure </w:t>
      </w:r>
      <w:r>
        <w:fldChar w:fldCharType="begin"/>
      </w:r>
      <w:r>
        <w:instrText xml:space="preserve"> SEQ Figure \* ARABIC </w:instrText>
      </w:r>
      <w:r>
        <w:fldChar w:fldCharType="separate"/>
      </w:r>
      <w:r w:rsidR="00057AD1">
        <w:rPr>
          <w:noProof/>
        </w:rPr>
        <w:t>2</w:t>
      </w:r>
      <w:r>
        <w:fldChar w:fldCharType="end"/>
      </w:r>
      <w:bookmarkEnd w:id="9"/>
      <w:r>
        <w:t>. Division of the part of the system bandwidth that is dedicated to transmission of SA packets in</w:t>
      </w:r>
      <w:r w:rsidR="002A6ED5">
        <w:t>to</w:t>
      </w:r>
      <w:r>
        <w:t xml:space="preserve"> sub</w:t>
      </w:r>
      <w:r w:rsidR="002A6ED5">
        <w:t>channels.</w:t>
      </w:r>
    </w:p>
    <w:p w:rsidR="00083158" w:rsidRDefault="00083158" w:rsidP="00083158">
      <w:pPr>
        <w:pStyle w:val="Heading2"/>
        <w:tabs>
          <w:tab w:val="clear" w:pos="576"/>
          <w:tab w:val="num" w:pos="718"/>
        </w:tabs>
        <w:ind w:left="718"/>
      </w:pPr>
      <w:bookmarkStart w:id="10" w:name="_Ref457907507"/>
      <w:r>
        <w:t xml:space="preserve">Relationship between SA and data </w:t>
      </w:r>
      <w:r w:rsidR="009F6F5A">
        <w:t>subchannels</w:t>
      </w:r>
      <w:bookmarkEnd w:id="10"/>
    </w:p>
    <w:p w:rsidR="00083158" w:rsidRDefault="00083158" w:rsidP="00083158">
      <w:pPr>
        <w:jc w:val="both"/>
      </w:pPr>
      <w:r>
        <w:t xml:space="preserve">If </w:t>
      </w:r>
      <w:r w:rsidR="009F6F5A">
        <w:t>subchannels</w:t>
      </w:r>
      <w:r w:rsidR="009F6F5A" w:rsidDel="009F6F5A">
        <w:t xml:space="preserve"> </w:t>
      </w:r>
      <w:r>
        <w:t>are used for both SA and data, it is benefi</w:t>
      </w:r>
      <w:r w:rsidR="00C9049E">
        <w:t>c</w:t>
      </w:r>
      <w:r>
        <w:t xml:space="preserve">ial to define a relationship between SA and data </w:t>
      </w:r>
      <w:r w:rsidR="009F6F5A">
        <w:t>subchannels</w:t>
      </w:r>
      <w:r>
        <w:t xml:space="preserve">. This simplifies resource allocation and also reduces the probability that an SA is received </w:t>
      </w:r>
      <w:r w:rsidR="004272ED">
        <w:t>while</w:t>
      </w:r>
      <w:r>
        <w:t xml:space="preserve"> its associated data </w:t>
      </w:r>
      <w:r w:rsidR="004272ED">
        <w:t xml:space="preserve">is not </w:t>
      </w:r>
      <w:r>
        <w:t xml:space="preserve">(due to a collision) or vice versa. For example, given our illustration of the division of the system bandwidth in </w:t>
      </w:r>
      <w:r>
        <w:fldChar w:fldCharType="begin"/>
      </w:r>
      <w:r>
        <w:instrText xml:space="preserve"> REF _Ref450832362 \h </w:instrText>
      </w:r>
      <w:r>
        <w:fldChar w:fldCharType="separate"/>
      </w:r>
      <w:r w:rsidR="00057AD1">
        <w:t xml:space="preserve">Figure </w:t>
      </w:r>
      <w:r w:rsidR="00057AD1">
        <w:rPr>
          <w:noProof/>
        </w:rPr>
        <w:t>3</w:t>
      </w:r>
      <w:r>
        <w:fldChar w:fldCharType="end"/>
      </w:r>
      <w:r>
        <w:t xml:space="preserve">, data transmissions in the </w:t>
      </w:r>
      <w:r w:rsidR="009F6F5A">
        <w:t>subchannels</w:t>
      </w:r>
      <w:r>
        <w:t xml:space="preserve"> labelled as ‘Data-X-Y’ would always be scheduled by the SA in the </w:t>
      </w:r>
      <w:r w:rsidR="009F6F5A">
        <w:t>subchannels</w:t>
      </w:r>
      <w:r w:rsidR="009F6F5A" w:rsidDel="009F6F5A">
        <w:t xml:space="preserve"> </w:t>
      </w:r>
      <w:r>
        <w:t>‘SA Y’ (where X={1,2,4} and Y={1,2,3,4}).</w:t>
      </w:r>
    </w:p>
    <w:p w:rsidR="00083158" w:rsidRDefault="00083158" w:rsidP="00083158">
      <w:pPr>
        <w:keepNext/>
      </w:pPr>
      <w:r>
        <w:rPr>
          <w:noProof/>
          <w:lang w:val="en-US"/>
        </w:rPr>
        <w:drawing>
          <wp:inline distT="0" distB="0" distL="0" distR="0" wp14:anchorId="6237D4B0" wp14:editId="12E73BFB">
            <wp:extent cx="5760000" cy="17949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1794956"/>
                    </a:xfrm>
                    <a:prstGeom prst="rect">
                      <a:avLst/>
                    </a:prstGeom>
                    <a:noFill/>
                  </pic:spPr>
                </pic:pic>
              </a:graphicData>
            </a:graphic>
          </wp:inline>
        </w:drawing>
      </w:r>
    </w:p>
    <w:p w:rsidR="00083158" w:rsidRDefault="00083158" w:rsidP="00083158">
      <w:pPr>
        <w:pStyle w:val="Caption"/>
        <w:jc w:val="center"/>
      </w:pPr>
      <w:bookmarkStart w:id="11" w:name="_Ref450832362"/>
      <w:r>
        <w:t xml:space="preserve">Figure </w:t>
      </w:r>
      <w:r>
        <w:fldChar w:fldCharType="begin"/>
      </w:r>
      <w:r>
        <w:instrText xml:space="preserve"> SEQ Figure \* ARABIC </w:instrText>
      </w:r>
      <w:r>
        <w:fldChar w:fldCharType="separate"/>
      </w:r>
      <w:r w:rsidR="00057AD1">
        <w:rPr>
          <w:noProof/>
        </w:rPr>
        <w:t>3</w:t>
      </w:r>
      <w:r>
        <w:fldChar w:fldCharType="end"/>
      </w:r>
      <w:bookmarkEnd w:id="11"/>
      <w:r>
        <w:t>. Illustration of the system bandwidth divided in</w:t>
      </w:r>
      <w:r w:rsidR="002A6ED5">
        <w:t>to</w:t>
      </w:r>
      <w:r>
        <w:t xml:space="preserve"> SA and data </w:t>
      </w:r>
      <w:r w:rsidR="009F6F5A">
        <w:t>subchannels</w:t>
      </w:r>
      <w:r>
        <w:t>.</w:t>
      </w:r>
    </w:p>
    <w:p w:rsidR="00083158" w:rsidRDefault="00083158" w:rsidP="00083158">
      <w:pPr>
        <w:jc w:val="both"/>
      </w:pPr>
      <w:r>
        <w:t xml:space="preserve">Considering the evaluations presented by us and other companies in the past, we believe that defining data </w:t>
      </w:r>
      <w:r w:rsidR="009F6F5A">
        <w:t xml:space="preserve">subchannels </w:t>
      </w:r>
      <w:r>
        <w:t>spanning as little as 1/4 of the bandwidth is sufficient. For SA width of</w:t>
      </w:r>
      <w:r w:rsidR="00DA06BC">
        <w:t xml:space="preserve"> </w:t>
      </w:r>
      <w:r>
        <w:t xml:space="preserve">2 </w:t>
      </w:r>
      <w:r w:rsidR="004272ED">
        <w:t>P</w:t>
      </w:r>
      <w:r>
        <w:t xml:space="preserve">RBs, this would correspond to data </w:t>
      </w:r>
      <w:r w:rsidR="009F6F5A">
        <w:t>subchannels</w:t>
      </w:r>
      <w:r w:rsidR="009F6F5A" w:rsidDel="009F6F5A">
        <w:t xml:space="preserve"> </w:t>
      </w:r>
      <w:r>
        <w:t xml:space="preserve"> with 10</w:t>
      </w:r>
      <w:r w:rsidR="005F22C7">
        <w:t>/11</w:t>
      </w:r>
      <w:r>
        <w:t xml:space="preserve"> </w:t>
      </w:r>
      <w:r w:rsidR="004272ED">
        <w:t>P</w:t>
      </w:r>
      <w:r>
        <w:t>RBs.</w:t>
      </w:r>
    </w:p>
    <w:p w:rsidR="0060086D" w:rsidRDefault="0060086D" w:rsidP="00057AD1">
      <w:pPr>
        <w:pStyle w:val="Heading2"/>
      </w:pPr>
      <w:bookmarkStart w:id="12" w:name="_Ref457906329"/>
      <w:r>
        <w:t xml:space="preserve">Subchannels when SA and data are transmitted in adjacent </w:t>
      </w:r>
      <w:r w:rsidR="00CD6D49">
        <w:t>P</w:t>
      </w:r>
      <w:r>
        <w:t>RBs</w:t>
      </w:r>
      <w:bookmarkEnd w:id="12"/>
    </w:p>
    <w:p w:rsidR="009F6F5A" w:rsidRDefault="00215887" w:rsidP="00057AD1">
      <w:pPr>
        <w:jc w:val="both"/>
      </w:pPr>
      <w:r>
        <w:t xml:space="preserve">RAN1 #85 agreed to support pool definition where SA and associated data transmitted on the subframe are always adjacent in frequency. In our companion paper </w:t>
      </w:r>
      <w:r w:rsidR="00AC7BE4">
        <w:fldChar w:fldCharType="begin"/>
      </w:r>
      <w:r w:rsidR="00AC7BE4">
        <w:instrText xml:space="preserve"> REF _Ref458521579 \r \h </w:instrText>
      </w:r>
      <w:r w:rsidR="00AC7BE4">
        <w:fldChar w:fldCharType="separate"/>
      </w:r>
      <w:r w:rsidR="00AC7BE4">
        <w:t>[2]</w:t>
      </w:r>
      <w:r w:rsidR="00AC7BE4">
        <w:fldChar w:fldCharType="end"/>
      </w:r>
      <w:r>
        <w:t xml:space="preserve"> </w:t>
      </w:r>
      <w:r w:rsidR="00865642">
        <w:t xml:space="preserve">we </w:t>
      </w:r>
      <w:r w:rsidR="004272ED">
        <w:t xml:space="preserve">also </w:t>
      </w:r>
      <w:r w:rsidR="00865642">
        <w:t>support</w:t>
      </w:r>
      <w:r>
        <w:t xml:space="preserve"> overlapping of SA and data pool</w:t>
      </w:r>
      <w:r w:rsidR="004272ED">
        <w:t>s</w:t>
      </w:r>
      <w:r>
        <w:t xml:space="preserve"> </w:t>
      </w:r>
      <w:r w:rsidR="004272ED">
        <w:t>in order to facilitate wideband transmissions</w:t>
      </w:r>
      <w:r w:rsidR="009F6F5A">
        <w:t xml:space="preserve">. In this case we believe that it is reasonable to divide the whole system bandwidth for V2V over PC5 into disjoint subchannels </w:t>
      </w:r>
      <w:r w:rsidR="0035656A">
        <w:t>with</w:t>
      </w:r>
      <w:r w:rsidR="009F6F5A">
        <w:t xml:space="preserve"> each subchannel </w:t>
      </w:r>
      <w:r w:rsidR="004272ED">
        <w:t>to be</w:t>
      </w:r>
      <w:r w:rsidR="009F6F5A">
        <w:t xml:space="preserve"> used for both SA and the associated data</w:t>
      </w:r>
      <w:r w:rsidR="007861BA">
        <w:t xml:space="preserve"> or for data only in case of wideband </w:t>
      </w:r>
      <w:r w:rsidR="007861BA" w:rsidRPr="002A6ED5">
        <w:lastRenderedPageBreak/>
        <w:t>transmission</w:t>
      </w:r>
      <w:r w:rsidR="0035656A" w:rsidRPr="00057AD1">
        <w:t xml:space="preserve"> as </w:t>
      </w:r>
      <w:r w:rsidR="004272ED">
        <w:t>illustrated</w:t>
      </w:r>
      <w:r w:rsidR="0035656A" w:rsidRPr="00057AD1">
        <w:t xml:space="preserve"> in </w:t>
      </w:r>
      <w:r w:rsidR="0035656A" w:rsidRPr="00057AD1">
        <w:fldChar w:fldCharType="begin"/>
      </w:r>
      <w:r w:rsidR="0035656A" w:rsidRPr="00057AD1">
        <w:instrText xml:space="preserve"> REF _Ref457905594 \h </w:instrText>
      </w:r>
      <w:r w:rsidR="0035656A">
        <w:instrText xml:space="preserve"> \* MERGEFORMAT </w:instrText>
      </w:r>
      <w:r w:rsidR="0035656A" w:rsidRPr="00057AD1">
        <w:fldChar w:fldCharType="separate"/>
      </w:r>
      <w:r w:rsidR="00057AD1">
        <w:t xml:space="preserve">Figure </w:t>
      </w:r>
      <w:r w:rsidR="00057AD1">
        <w:rPr>
          <w:noProof/>
        </w:rPr>
        <w:t>4</w:t>
      </w:r>
      <w:r w:rsidR="0035656A" w:rsidRPr="00057AD1">
        <w:fldChar w:fldCharType="end"/>
      </w:r>
      <w:r w:rsidR="0035656A">
        <w:t xml:space="preserve">. In this </w:t>
      </w:r>
      <w:r w:rsidR="004272ED">
        <w:t>example figure</w:t>
      </w:r>
      <w:r w:rsidR="0035656A">
        <w:t xml:space="preserve"> the system bandwidth is divided into 4 subchannels, each occupies ¼ of the </w:t>
      </w:r>
      <w:r w:rsidR="004272ED">
        <w:t xml:space="preserve">whole </w:t>
      </w:r>
      <w:r w:rsidR="0035656A">
        <w:t>bandwidth and can be used for transm</w:t>
      </w:r>
      <w:r w:rsidR="002A6ED5">
        <w:t xml:space="preserve">ission of both SA and data. A wideband transmission (1/2 or full bandwidth) would use 2 or 4 subchannels, among those only one subchannel contains </w:t>
      </w:r>
      <w:r w:rsidR="00AC7BE4">
        <w:t xml:space="preserve">both </w:t>
      </w:r>
      <w:r w:rsidR="002A6ED5">
        <w:t>SA and data, the other subchannels are used for data only.</w:t>
      </w:r>
    </w:p>
    <w:p w:rsidR="00CD6D49" w:rsidRDefault="002A6ED5" w:rsidP="00057AD1">
      <w:pPr>
        <w:jc w:val="center"/>
      </w:pPr>
      <w:r>
        <w:rPr>
          <w:noProof/>
          <w:lang w:val="en-US"/>
        </w:rPr>
        <w:drawing>
          <wp:inline distT="0" distB="0" distL="0" distR="0" wp14:anchorId="4BF4D011" wp14:editId="09DF0BBF">
            <wp:extent cx="4846320" cy="22900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6320" cy="2290025"/>
                    </a:xfrm>
                    <a:prstGeom prst="rect">
                      <a:avLst/>
                    </a:prstGeom>
                    <a:noFill/>
                  </pic:spPr>
                </pic:pic>
              </a:graphicData>
            </a:graphic>
          </wp:inline>
        </w:drawing>
      </w:r>
    </w:p>
    <w:p w:rsidR="0035656A" w:rsidRDefault="0035656A" w:rsidP="0035656A">
      <w:pPr>
        <w:pStyle w:val="Caption"/>
        <w:jc w:val="center"/>
      </w:pPr>
      <w:bookmarkStart w:id="13" w:name="_Ref457905594"/>
      <w:r>
        <w:t xml:space="preserve">Figure </w:t>
      </w:r>
      <w:r>
        <w:fldChar w:fldCharType="begin"/>
      </w:r>
      <w:r>
        <w:instrText xml:space="preserve"> SEQ Figure \* ARABIC </w:instrText>
      </w:r>
      <w:r>
        <w:fldChar w:fldCharType="separate"/>
      </w:r>
      <w:r w:rsidR="00057AD1">
        <w:rPr>
          <w:noProof/>
        </w:rPr>
        <w:t>4</w:t>
      </w:r>
      <w:r>
        <w:fldChar w:fldCharType="end"/>
      </w:r>
      <w:bookmarkEnd w:id="13"/>
      <w:r>
        <w:t>. Illustration of the system bandwidth divided in</w:t>
      </w:r>
      <w:r w:rsidR="002A6ED5">
        <w:t>to</w:t>
      </w:r>
      <w:r>
        <w:t xml:space="preserve"> subchannels</w:t>
      </w:r>
      <w:r w:rsidR="002A6ED5">
        <w:t xml:space="preserve"> when SA and data are transmitted in adjacent PRBs</w:t>
      </w:r>
      <w:r>
        <w:t>.</w:t>
      </w:r>
    </w:p>
    <w:p w:rsidR="00CD6D49" w:rsidRDefault="00CD6D49" w:rsidP="00057AD1">
      <w:pPr>
        <w:jc w:val="both"/>
      </w:pPr>
    </w:p>
    <w:p w:rsidR="00083158" w:rsidRPr="005F3D1E" w:rsidRDefault="00083158" w:rsidP="00083158">
      <w:pPr>
        <w:rPr>
          <w:b/>
          <w:i/>
        </w:rPr>
      </w:pPr>
      <w:r w:rsidRPr="005F3D1E">
        <w:rPr>
          <w:b/>
          <w:i/>
        </w:rPr>
        <w:t>Proposals:</w:t>
      </w:r>
    </w:p>
    <w:p w:rsidR="00C86CCA" w:rsidRDefault="00C86CCA" w:rsidP="00083158">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For the case SA and data pools are non-overlapping:</w:t>
      </w:r>
    </w:p>
    <w:p w:rsidR="00C86CCA" w:rsidRDefault="00C86CCA" w:rsidP="00057AD1">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Subchannelization applies to both PSCCH and PSCCH resources, as specified next.</w:t>
      </w:r>
    </w:p>
    <w:p w:rsidR="00083158" w:rsidRDefault="00083158" w:rsidP="00057AD1">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The frequency resources for transmission</w:t>
      </w:r>
      <w:r w:rsidR="004272ED">
        <w:rPr>
          <w:rFonts w:ascii="Times New Roman" w:hAnsi="Times New Roman" w:cs="Times New Roman"/>
          <w:b/>
          <w:i/>
          <w:sz w:val="20"/>
          <w:szCs w:val="20"/>
        </w:rPr>
        <w:t>s</w:t>
      </w:r>
      <w:r>
        <w:rPr>
          <w:rFonts w:ascii="Times New Roman" w:hAnsi="Times New Roman" w:cs="Times New Roman"/>
          <w:b/>
          <w:i/>
          <w:sz w:val="20"/>
          <w:szCs w:val="20"/>
        </w:rPr>
        <w:t xml:space="preserve"> of data packets are divided into </w:t>
      </w:r>
      <w:r w:rsidR="00C86CCA">
        <w:rPr>
          <w:rFonts w:ascii="Times New Roman" w:hAnsi="Times New Roman" w:cs="Times New Roman"/>
          <w:b/>
          <w:i/>
          <w:sz w:val="20"/>
          <w:szCs w:val="20"/>
        </w:rPr>
        <w:t>subchannels</w:t>
      </w:r>
      <w:r>
        <w:rPr>
          <w:rFonts w:ascii="Times New Roman" w:hAnsi="Times New Roman" w:cs="Times New Roman"/>
          <w:b/>
          <w:i/>
          <w:sz w:val="20"/>
          <w:szCs w:val="20"/>
        </w:rPr>
        <w:t>:</w:t>
      </w:r>
    </w:p>
    <w:p w:rsidR="00083158" w:rsidRDefault="00083158" w:rsidP="00057AD1">
      <w:pPr>
        <w:pStyle w:val="ListParagraph"/>
        <w:numPr>
          <w:ilvl w:val="3"/>
          <w:numId w:val="61"/>
        </w:numPr>
        <w:rPr>
          <w:rFonts w:ascii="Times New Roman" w:hAnsi="Times New Roman" w:cs="Times New Roman"/>
          <w:b/>
          <w:i/>
          <w:sz w:val="20"/>
          <w:szCs w:val="20"/>
        </w:rPr>
      </w:pPr>
      <w:r>
        <w:rPr>
          <w:rFonts w:ascii="Times New Roman" w:hAnsi="Times New Roman" w:cs="Times New Roman"/>
          <w:b/>
          <w:i/>
          <w:sz w:val="20"/>
          <w:szCs w:val="20"/>
        </w:rPr>
        <w:t xml:space="preserve">2^k non-overlapping </w:t>
      </w:r>
      <w:r w:rsidR="00C86CCA">
        <w:rPr>
          <w:rFonts w:ascii="Times New Roman" w:hAnsi="Times New Roman" w:cs="Times New Roman"/>
          <w:b/>
          <w:i/>
          <w:sz w:val="20"/>
          <w:szCs w:val="20"/>
        </w:rPr>
        <w:t xml:space="preserve">subchannels </w:t>
      </w:r>
      <w:r>
        <w:rPr>
          <w:rFonts w:ascii="Times New Roman" w:hAnsi="Times New Roman" w:cs="Times New Roman"/>
          <w:b/>
          <w:i/>
          <w:sz w:val="20"/>
          <w:szCs w:val="20"/>
        </w:rPr>
        <w:t>of (approximate) width 1/2^k are defined</w:t>
      </w:r>
      <w:r w:rsidR="001B5056">
        <w:rPr>
          <w:rFonts w:ascii="Times New Roman" w:hAnsi="Times New Roman" w:cs="Times New Roman"/>
          <w:b/>
          <w:i/>
          <w:sz w:val="20"/>
          <w:szCs w:val="20"/>
        </w:rPr>
        <w:t>.</w:t>
      </w:r>
    </w:p>
    <w:p w:rsidR="00083158" w:rsidRDefault="00083158" w:rsidP="00057AD1">
      <w:pPr>
        <w:pStyle w:val="ListParagraph"/>
        <w:numPr>
          <w:ilvl w:val="3"/>
          <w:numId w:val="61"/>
        </w:numPr>
        <w:rPr>
          <w:rFonts w:ascii="Times New Roman" w:hAnsi="Times New Roman" w:cs="Times New Roman"/>
          <w:b/>
          <w:i/>
          <w:sz w:val="20"/>
          <w:szCs w:val="20"/>
        </w:rPr>
      </w:pPr>
      <w:r>
        <w:rPr>
          <w:rFonts w:ascii="Times New Roman" w:hAnsi="Times New Roman" w:cs="Times New Roman"/>
          <w:b/>
          <w:i/>
          <w:sz w:val="20"/>
          <w:szCs w:val="20"/>
        </w:rPr>
        <w:t xml:space="preserve">Each (re)transmission of a TB occupies </w:t>
      </w:r>
      <w:r w:rsidR="001B5056">
        <w:rPr>
          <w:rFonts w:ascii="Times New Roman" w:hAnsi="Times New Roman" w:cs="Times New Roman"/>
          <w:b/>
          <w:i/>
          <w:sz w:val="20"/>
          <w:szCs w:val="20"/>
        </w:rPr>
        <w:t>an integer number of</w:t>
      </w:r>
      <w:r>
        <w:rPr>
          <w:rFonts w:ascii="Times New Roman" w:hAnsi="Times New Roman" w:cs="Times New Roman"/>
          <w:b/>
          <w:i/>
          <w:sz w:val="20"/>
          <w:szCs w:val="20"/>
        </w:rPr>
        <w:t xml:space="preserve"> </w:t>
      </w:r>
      <w:r w:rsidR="00C86CCA">
        <w:rPr>
          <w:rFonts w:ascii="Times New Roman" w:hAnsi="Times New Roman" w:cs="Times New Roman"/>
          <w:b/>
          <w:i/>
          <w:sz w:val="20"/>
          <w:szCs w:val="20"/>
        </w:rPr>
        <w:t>subchannel</w:t>
      </w:r>
      <w:r w:rsidR="001B5056">
        <w:rPr>
          <w:rFonts w:ascii="Times New Roman" w:hAnsi="Times New Roman" w:cs="Times New Roman"/>
          <w:b/>
          <w:i/>
          <w:sz w:val="20"/>
          <w:szCs w:val="20"/>
        </w:rPr>
        <w:t>s</w:t>
      </w:r>
      <w:r>
        <w:rPr>
          <w:rFonts w:ascii="Times New Roman" w:hAnsi="Times New Roman" w:cs="Times New Roman"/>
          <w:b/>
          <w:i/>
          <w:sz w:val="20"/>
          <w:szCs w:val="20"/>
        </w:rPr>
        <w:t>.</w:t>
      </w:r>
    </w:p>
    <w:p w:rsidR="00083158" w:rsidRPr="00E36149" w:rsidRDefault="00083158" w:rsidP="00057AD1">
      <w:pPr>
        <w:pStyle w:val="ListParagraph"/>
        <w:numPr>
          <w:ilvl w:val="2"/>
          <w:numId w:val="61"/>
        </w:numPr>
        <w:rPr>
          <w:rFonts w:ascii="Times New Roman" w:hAnsi="Times New Roman" w:cs="Times New Roman"/>
          <w:b/>
          <w:i/>
          <w:sz w:val="20"/>
          <w:szCs w:val="20"/>
        </w:rPr>
      </w:pPr>
      <w:r w:rsidRPr="00E36149">
        <w:rPr>
          <w:rFonts w:ascii="Times New Roman" w:hAnsi="Times New Roman" w:cs="Times New Roman"/>
          <w:b/>
          <w:i/>
          <w:sz w:val="20"/>
          <w:szCs w:val="20"/>
        </w:rPr>
        <w:t>The frequency resources for transmission</w:t>
      </w:r>
      <w:r w:rsidR="00136153">
        <w:rPr>
          <w:rFonts w:ascii="Times New Roman" w:hAnsi="Times New Roman" w:cs="Times New Roman"/>
          <w:b/>
          <w:i/>
          <w:sz w:val="20"/>
          <w:szCs w:val="20"/>
        </w:rPr>
        <w:t>s</w:t>
      </w:r>
      <w:r w:rsidRPr="00E36149">
        <w:rPr>
          <w:rFonts w:ascii="Times New Roman" w:hAnsi="Times New Roman" w:cs="Times New Roman"/>
          <w:b/>
          <w:i/>
          <w:sz w:val="20"/>
          <w:szCs w:val="20"/>
        </w:rPr>
        <w:t xml:space="preserve"> of SA </w:t>
      </w:r>
      <w:r>
        <w:rPr>
          <w:rFonts w:ascii="Times New Roman" w:hAnsi="Times New Roman" w:cs="Times New Roman"/>
          <w:b/>
          <w:i/>
          <w:sz w:val="20"/>
          <w:szCs w:val="20"/>
        </w:rPr>
        <w:t xml:space="preserve">packets </w:t>
      </w:r>
      <w:r w:rsidRPr="00E36149">
        <w:rPr>
          <w:rFonts w:ascii="Times New Roman" w:hAnsi="Times New Roman" w:cs="Times New Roman"/>
          <w:b/>
          <w:i/>
          <w:sz w:val="20"/>
          <w:szCs w:val="20"/>
        </w:rPr>
        <w:t>are divided in</w:t>
      </w:r>
      <w:r w:rsidR="00AC7BE4">
        <w:rPr>
          <w:rFonts w:ascii="Times New Roman" w:hAnsi="Times New Roman" w:cs="Times New Roman"/>
          <w:b/>
          <w:i/>
          <w:sz w:val="20"/>
          <w:szCs w:val="20"/>
        </w:rPr>
        <w:t>to</w:t>
      </w:r>
      <w:r w:rsidRPr="00E36149">
        <w:rPr>
          <w:rFonts w:ascii="Times New Roman" w:hAnsi="Times New Roman" w:cs="Times New Roman"/>
          <w:b/>
          <w:i/>
          <w:sz w:val="20"/>
          <w:szCs w:val="20"/>
        </w:rPr>
        <w:t xml:space="preserve"> </w:t>
      </w:r>
      <w:r>
        <w:rPr>
          <w:rFonts w:ascii="Times New Roman" w:hAnsi="Times New Roman" w:cs="Times New Roman"/>
          <w:b/>
          <w:i/>
          <w:sz w:val="20"/>
          <w:szCs w:val="20"/>
        </w:rPr>
        <w:t>2^k</w:t>
      </w:r>
      <w:r w:rsidRPr="00E36149">
        <w:rPr>
          <w:rFonts w:ascii="Times New Roman" w:hAnsi="Times New Roman" w:cs="Times New Roman"/>
          <w:b/>
          <w:i/>
          <w:sz w:val="20"/>
          <w:szCs w:val="20"/>
        </w:rPr>
        <w:t xml:space="preserve"> non-overlapping </w:t>
      </w:r>
      <w:r w:rsidR="00C86CCA">
        <w:rPr>
          <w:rFonts w:ascii="Times New Roman" w:hAnsi="Times New Roman" w:cs="Times New Roman"/>
          <w:b/>
          <w:i/>
          <w:sz w:val="20"/>
          <w:szCs w:val="20"/>
        </w:rPr>
        <w:t>subchannel</w:t>
      </w:r>
      <w:r w:rsidRPr="00E36149">
        <w:rPr>
          <w:rFonts w:ascii="Times New Roman" w:hAnsi="Times New Roman" w:cs="Times New Roman"/>
          <w:b/>
          <w:i/>
          <w:sz w:val="20"/>
          <w:szCs w:val="20"/>
        </w:rPr>
        <w:t>s.</w:t>
      </w:r>
    </w:p>
    <w:p w:rsidR="00083158" w:rsidRPr="00E36149" w:rsidRDefault="00083158" w:rsidP="00057AD1">
      <w:pPr>
        <w:pStyle w:val="ListParagraph"/>
        <w:numPr>
          <w:ilvl w:val="3"/>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Each </w:t>
      </w:r>
      <w:r w:rsidR="00C86CCA">
        <w:rPr>
          <w:rFonts w:ascii="Times New Roman" w:hAnsi="Times New Roman" w:cs="Times New Roman"/>
          <w:b/>
          <w:i/>
          <w:sz w:val="20"/>
          <w:szCs w:val="20"/>
        </w:rPr>
        <w:t>subchannel</w:t>
      </w:r>
      <w:r w:rsidRPr="00E36149">
        <w:rPr>
          <w:rFonts w:ascii="Times New Roman" w:hAnsi="Times New Roman" w:cs="Times New Roman"/>
          <w:b/>
          <w:i/>
          <w:sz w:val="20"/>
          <w:szCs w:val="20"/>
        </w:rPr>
        <w:t xml:space="preserve"> consists of a number of contiguous </w:t>
      </w:r>
      <w:r w:rsidR="00AC7BE4">
        <w:rPr>
          <w:rFonts w:ascii="Times New Roman" w:hAnsi="Times New Roman" w:cs="Times New Roman"/>
          <w:b/>
          <w:i/>
          <w:sz w:val="20"/>
          <w:szCs w:val="20"/>
        </w:rPr>
        <w:t>P</w:t>
      </w:r>
      <w:r w:rsidRPr="00E36149">
        <w:rPr>
          <w:rFonts w:ascii="Times New Roman" w:hAnsi="Times New Roman" w:cs="Times New Roman"/>
          <w:b/>
          <w:i/>
          <w:sz w:val="20"/>
          <w:szCs w:val="20"/>
        </w:rPr>
        <w:t>RBs equal to the size of the SA.</w:t>
      </w:r>
    </w:p>
    <w:p w:rsidR="00083158" w:rsidRDefault="00083158" w:rsidP="00057AD1">
      <w:pPr>
        <w:pStyle w:val="ListParagraph"/>
        <w:numPr>
          <w:ilvl w:val="3"/>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Each </w:t>
      </w:r>
      <w:r>
        <w:rPr>
          <w:rFonts w:ascii="Times New Roman" w:hAnsi="Times New Roman" w:cs="Times New Roman"/>
          <w:b/>
          <w:i/>
          <w:sz w:val="20"/>
          <w:szCs w:val="20"/>
        </w:rPr>
        <w:t xml:space="preserve">(re)transmission of an </w:t>
      </w:r>
      <w:r w:rsidRPr="00E36149">
        <w:rPr>
          <w:rFonts w:ascii="Times New Roman" w:hAnsi="Times New Roman" w:cs="Times New Roman"/>
          <w:b/>
          <w:i/>
          <w:sz w:val="20"/>
          <w:szCs w:val="20"/>
        </w:rPr>
        <w:t xml:space="preserve">SA occupies </w:t>
      </w:r>
      <w:r w:rsidR="001B5056">
        <w:rPr>
          <w:rFonts w:ascii="Times New Roman" w:hAnsi="Times New Roman" w:cs="Times New Roman"/>
          <w:b/>
          <w:i/>
          <w:sz w:val="20"/>
          <w:szCs w:val="20"/>
        </w:rPr>
        <w:t>an integer number of subchannels</w:t>
      </w:r>
      <w:r w:rsidRPr="00E36149">
        <w:rPr>
          <w:rFonts w:ascii="Times New Roman" w:hAnsi="Times New Roman" w:cs="Times New Roman"/>
          <w:b/>
          <w:i/>
          <w:sz w:val="20"/>
          <w:szCs w:val="20"/>
        </w:rPr>
        <w:t>.</w:t>
      </w:r>
    </w:p>
    <w:p w:rsidR="00083158" w:rsidRDefault="00083158" w:rsidP="00057AD1">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 xml:space="preserve">A data </w:t>
      </w:r>
      <w:r w:rsidR="00C86CCA">
        <w:rPr>
          <w:rFonts w:ascii="Times New Roman" w:hAnsi="Times New Roman" w:cs="Times New Roman"/>
          <w:b/>
          <w:i/>
          <w:sz w:val="20"/>
          <w:szCs w:val="20"/>
        </w:rPr>
        <w:t>subchannel</w:t>
      </w:r>
      <w:r>
        <w:rPr>
          <w:rFonts w:ascii="Times New Roman" w:hAnsi="Times New Roman" w:cs="Times New Roman"/>
          <w:b/>
          <w:i/>
          <w:sz w:val="20"/>
          <w:szCs w:val="20"/>
        </w:rPr>
        <w:t xml:space="preserve"> is always scheduled by the same SA </w:t>
      </w:r>
      <w:r w:rsidR="00C86CCA">
        <w:rPr>
          <w:rFonts w:ascii="Times New Roman" w:hAnsi="Times New Roman" w:cs="Times New Roman"/>
          <w:b/>
          <w:i/>
          <w:sz w:val="20"/>
          <w:szCs w:val="20"/>
        </w:rPr>
        <w:t>subchannel</w:t>
      </w:r>
      <w:r>
        <w:rPr>
          <w:rFonts w:ascii="Times New Roman" w:hAnsi="Times New Roman" w:cs="Times New Roman"/>
          <w:b/>
          <w:i/>
          <w:sz w:val="20"/>
          <w:szCs w:val="20"/>
        </w:rPr>
        <w:t>.</w:t>
      </w:r>
    </w:p>
    <w:p w:rsidR="00083158" w:rsidRDefault="00083158" w:rsidP="00057AD1">
      <w:pPr>
        <w:pStyle w:val="ListParagraph"/>
        <w:numPr>
          <w:ilvl w:val="3"/>
          <w:numId w:val="61"/>
        </w:numPr>
        <w:rPr>
          <w:rFonts w:ascii="Times New Roman" w:hAnsi="Times New Roman" w:cs="Times New Roman"/>
          <w:b/>
          <w:i/>
          <w:sz w:val="20"/>
          <w:szCs w:val="20"/>
        </w:rPr>
      </w:pPr>
      <w:r>
        <w:rPr>
          <w:rFonts w:ascii="Times New Roman" w:hAnsi="Times New Roman" w:cs="Times New Roman"/>
          <w:b/>
          <w:i/>
          <w:sz w:val="20"/>
          <w:szCs w:val="20"/>
        </w:rPr>
        <w:t xml:space="preserve">For a given data </w:t>
      </w:r>
      <w:r w:rsidR="00C86CCA">
        <w:rPr>
          <w:rFonts w:ascii="Times New Roman" w:hAnsi="Times New Roman" w:cs="Times New Roman"/>
          <w:b/>
          <w:i/>
          <w:sz w:val="20"/>
          <w:szCs w:val="20"/>
        </w:rPr>
        <w:t>subchannel</w:t>
      </w:r>
      <w:r>
        <w:rPr>
          <w:rFonts w:ascii="Times New Roman" w:hAnsi="Times New Roman" w:cs="Times New Roman"/>
          <w:b/>
          <w:i/>
          <w:sz w:val="20"/>
          <w:szCs w:val="20"/>
        </w:rPr>
        <w:t xml:space="preserve"> width, each data </w:t>
      </w:r>
      <w:r w:rsidR="00C86CCA">
        <w:rPr>
          <w:rFonts w:ascii="Times New Roman" w:hAnsi="Times New Roman" w:cs="Times New Roman"/>
          <w:b/>
          <w:i/>
          <w:sz w:val="20"/>
          <w:szCs w:val="20"/>
        </w:rPr>
        <w:t>subchannel</w:t>
      </w:r>
      <w:r>
        <w:rPr>
          <w:rFonts w:ascii="Times New Roman" w:hAnsi="Times New Roman" w:cs="Times New Roman"/>
          <w:b/>
          <w:i/>
          <w:sz w:val="20"/>
          <w:szCs w:val="20"/>
        </w:rPr>
        <w:t xml:space="preserve"> is scheduled by a different SA </w:t>
      </w:r>
      <w:r w:rsidR="00C86CCA">
        <w:rPr>
          <w:rFonts w:ascii="Times New Roman" w:hAnsi="Times New Roman" w:cs="Times New Roman"/>
          <w:b/>
          <w:i/>
          <w:sz w:val="20"/>
          <w:szCs w:val="20"/>
        </w:rPr>
        <w:t>subchannel</w:t>
      </w:r>
      <w:r>
        <w:rPr>
          <w:rFonts w:ascii="Times New Roman" w:hAnsi="Times New Roman" w:cs="Times New Roman"/>
          <w:b/>
          <w:i/>
          <w:sz w:val="20"/>
          <w:szCs w:val="20"/>
        </w:rPr>
        <w:t>.</w:t>
      </w:r>
    </w:p>
    <w:p w:rsidR="00083158" w:rsidRDefault="00083158" w:rsidP="00057AD1">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For a 10 MHz carrier k=2.</w:t>
      </w:r>
    </w:p>
    <w:p w:rsidR="00083158" w:rsidRPr="00E36149" w:rsidRDefault="00083158" w:rsidP="00057AD1">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FFS: k for other system bandwidths.</w:t>
      </w:r>
    </w:p>
    <w:p w:rsidR="009445A3" w:rsidRDefault="00C86CCA" w:rsidP="00057AD1">
      <w:pPr>
        <w:pStyle w:val="ListParagraph"/>
        <w:numPr>
          <w:ilvl w:val="0"/>
          <w:numId w:val="61"/>
        </w:numPr>
        <w:rPr>
          <w:b/>
          <w:i/>
        </w:rPr>
      </w:pPr>
      <w:r w:rsidRPr="00057AD1">
        <w:rPr>
          <w:rFonts w:ascii="Times New Roman" w:hAnsi="Times New Roman" w:cs="Times New Roman"/>
          <w:b/>
          <w:i/>
          <w:sz w:val="20"/>
          <w:szCs w:val="20"/>
        </w:rPr>
        <w:t>For the case SA and associated data are transmitted in the same subframe</w:t>
      </w:r>
      <w:r w:rsidR="004272ED">
        <w:rPr>
          <w:rFonts w:ascii="Times New Roman" w:hAnsi="Times New Roman" w:cs="Times New Roman"/>
          <w:b/>
          <w:i/>
          <w:sz w:val="20"/>
          <w:szCs w:val="20"/>
        </w:rPr>
        <w:t xml:space="preserve"> and SA and data pools are overlapping</w:t>
      </w:r>
      <w:r w:rsidRPr="00057AD1">
        <w:rPr>
          <w:rFonts w:ascii="Times New Roman" w:hAnsi="Times New Roman" w:cs="Times New Roman"/>
          <w:b/>
          <w:i/>
          <w:sz w:val="20"/>
          <w:szCs w:val="20"/>
        </w:rPr>
        <w:t>:</w:t>
      </w:r>
    </w:p>
    <w:p w:rsidR="00C86CCA" w:rsidRDefault="00C86CCA" w:rsidP="00C86CCA">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The frequency resources for transmission</w:t>
      </w:r>
      <w:r w:rsidR="004272ED">
        <w:rPr>
          <w:rFonts w:ascii="Times New Roman" w:hAnsi="Times New Roman" w:cs="Times New Roman"/>
          <w:b/>
          <w:i/>
          <w:sz w:val="20"/>
          <w:szCs w:val="20"/>
        </w:rPr>
        <w:t>s</w:t>
      </w:r>
      <w:r>
        <w:rPr>
          <w:rFonts w:ascii="Times New Roman" w:hAnsi="Times New Roman" w:cs="Times New Roman"/>
          <w:b/>
          <w:i/>
          <w:sz w:val="20"/>
          <w:szCs w:val="20"/>
        </w:rPr>
        <w:t xml:space="preserve"> of SA+data packets are divided into subchannels:</w:t>
      </w:r>
    </w:p>
    <w:p w:rsidR="00C86CCA" w:rsidRDefault="00C86CCA" w:rsidP="00C86CCA">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2^k non-overlapping subchannels of (approximate) width 1/2^k are defined</w:t>
      </w:r>
    </w:p>
    <w:p w:rsidR="00AC7BE4" w:rsidRDefault="00AC7BE4" w:rsidP="00AC7BE4">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Each subchannel can be used to transmit SA+data or data only.</w:t>
      </w:r>
    </w:p>
    <w:p w:rsidR="00C86CCA" w:rsidRDefault="00C86CCA" w:rsidP="00C86CCA">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Each (re)transmission of SA+data</w:t>
      </w:r>
      <w:r w:rsidR="007861BA">
        <w:rPr>
          <w:rFonts w:ascii="Times New Roman" w:hAnsi="Times New Roman" w:cs="Times New Roman"/>
          <w:b/>
          <w:i/>
          <w:sz w:val="20"/>
          <w:szCs w:val="20"/>
        </w:rPr>
        <w:t xml:space="preserve"> or data only of a</w:t>
      </w:r>
      <w:r>
        <w:rPr>
          <w:rFonts w:ascii="Times New Roman" w:hAnsi="Times New Roman" w:cs="Times New Roman"/>
          <w:b/>
          <w:i/>
          <w:sz w:val="20"/>
          <w:szCs w:val="20"/>
        </w:rPr>
        <w:t xml:space="preserve"> TB occupies </w:t>
      </w:r>
      <w:r w:rsidR="001B5056">
        <w:rPr>
          <w:rFonts w:ascii="Times New Roman" w:hAnsi="Times New Roman" w:cs="Times New Roman"/>
          <w:b/>
          <w:i/>
          <w:sz w:val="20"/>
          <w:szCs w:val="20"/>
        </w:rPr>
        <w:t>an integer number of subchannels</w:t>
      </w:r>
      <w:r>
        <w:rPr>
          <w:rFonts w:ascii="Times New Roman" w:hAnsi="Times New Roman" w:cs="Times New Roman"/>
          <w:b/>
          <w:i/>
          <w:sz w:val="20"/>
          <w:szCs w:val="20"/>
        </w:rPr>
        <w:t>.</w:t>
      </w:r>
    </w:p>
    <w:p w:rsidR="001C33A7" w:rsidRDefault="003A237A" w:rsidP="001C33A7">
      <w:pPr>
        <w:pStyle w:val="Heading1"/>
      </w:pPr>
      <w:r>
        <w:t>Power</w:t>
      </w:r>
      <w:r w:rsidR="00DD79E2">
        <w:t xml:space="preserve"> measurements </w:t>
      </w:r>
      <w:r w:rsidR="00997460">
        <w:t>for sensing</w:t>
      </w:r>
    </w:p>
    <w:p w:rsidR="009D7649" w:rsidRDefault="009D7649" w:rsidP="009D7649">
      <w:pPr>
        <w:jc w:val="both"/>
      </w:pPr>
      <w:r>
        <w:t xml:space="preserve">In mode-2 resource allocation, each UE senses the status of the radio resources of interest and selects resources for its future transmission(s). One method of sensing which has been widely used </w:t>
      </w:r>
      <w:r w:rsidR="00E85E38">
        <w:t xml:space="preserve">in </w:t>
      </w:r>
      <w:r>
        <w:t xml:space="preserve">contention-based resource allocation (e.g., in CSMA systems such as the IEEE 802.11) is measurement of signal </w:t>
      </w:r>
      <w:r w:rsidR="00F13593">
        <w:t xml:space="preserve">power </w:t>
      </w:r>
      <w:r>
        <w:t xml:space="preserve">in the interested resources. </w:t>
      </w:r>
      <w:r w:rsidR="00EC2831">
        <w:t xml:space="preserve">In contrast to the TDMA nature of IEEE 802.11 technology, however, the </w:t>
      </w:r>
      <w:r>
        <w:t xml:space="preserve">LTE-based V2X system </w:t>
      </w:r>
      <w:r w:rsidR="00EC2831">
        <w:t>is an OFDMA system where each complete transmission consists of a</w:t>
      </w:r>
      <w:r>
        <w:t xml:space="preserve"> transmission of SA and </w:t>
      </w:r>
      <w:r w:rsidR="00EC2831">
        <w:t>a transmission of data. These features clearly affect the design of the sensing protocol.</w:t>
      </w:r>
      <w:r>
        <w:t xml:space="preserve"> </w:t>
      </w:r>
    </w:p>
    <w:p w:rsidR="00E61362" w:rsidRDefault="00E61362" w:rsidP="009D7649">
      <w:pPr>
        <w:jc w:val="both"/>
      </w:pPr>
      <w:r>
        <w:t>First we note that the measurement under discussion is performed over the resources, not targeting any particular users, and the measurement should be done over all OFDM symbols in a TTI.</w:t>
      </w:r>
    </w:p>
    <w:p w:rsidR="00997460" w:rsidRPr="00537362" w:rsidRDefault="00B830CF" w:rsidP="0035656A">
      <w:pPr>
        <w:jc w:val="both"/>
      </w:pPr>
      <w:r w:rsidRPr="00057AD1">
        <w:t>As for how measurement</w:t>
      </w:r>
      <w:r w:rsidR="003125C0">
        <w:t>s</w:t>
      </w:r>
      <w:r w:rsidRPr="00057AD1">
        <w:t xml:space="preserve"> can be performed on the sub</w:t>
      </w:r>
      <w:r w:rsidR="003125C0">
        <w:t>channels</w:t>
      </w:r>
      <w:r w:rsidRPr="00057AD1">
        <w:t>, we di</w:t>
      </w:r>
      <w:r w:rsidR="003125C0">
        <w:t>stinguish</w:t>
      </w:r>
      <w:r w:rsidRPr="00057AD1">
        <w:t xml:space="preserve"> two cases as follows. In the first case when the pool configuration requires </w:t>
      </w:r>
      <w:r w:rsidR="005038D3" w:rsidRPr="00537362">
        <w:t xml:space="preserve">the set of resources for SA and for data </w:t>
      </w:r>
      <w:r w:rsidRPr="00057AD1">
        <w:t>to be</w:t>
      </w:r>
      <w:r w:rsidRPr="00537362">
        <w:t xml:space="preserve"> </w:t>
      </w:r>
      <w:r w:rsidR="005038D3" w:rsidRPr="00537362">
        <w:t>disjoint</w:t>
      </w:r>
      <w:r w:rsidRPr="00057AD1">
        <w:t xml:space="preserve">, since </w:t>
      </w:r>
      <w:r w:rsidR="005038D3" w:rsidRPr="00537362">
        <w:t xml:space="preserve">SA and data usually occupy different number of resource blocks it is natural to separate the </w:t>
      </w:r>
      <w:r w:rsidR="00F13593" w:rsidRPr="00537362">
        <w:t xml:space="preserve">power </w:t>
      </w:r>
      <w:r w:rsidR="005038D3" w:rsidRPr="00537362">
        <w:t xml:space="preserve">measurements for SA and for data. </w:t>
      </w:r>
      <w:r w:rsidRPr="00057AD1">
        <w:t>In the second case when the pool configuration allow</w:t>
      </w:r>
      <w:r w:rsidR="003125C0">
        <w:t>s</w:t>
      </w:r>
      <w:r w:rsidRPr="00057AD1">
        <w:t xml:space="preserve"> SA and data resources to be overlapping, since there is only one type of subchannel as described in Section </w:t>
      </w:r>
      <w:r w:rsidR="006B1B4D">
        <w:fldChar w:fldCharType="begin"/>
      </w:r>
      <w:r w:rsidR="006B1B4D">
        <w:instrText xml:space="preserve"> REF _Ref457906329 \r \h </w:instrText>
      </w:r>
      <w:r w:rsidR="006B1B4D">
        <w:fldChar w:fldCharType="separate"/>
      </w:r>
      <w:r w:rsidR="00057AD1">
        <w:t>2.4</w:t>
      </w:r>
      <w:r w:rsidR="006B1B4D">
        <w:fldChar w:fldCharType="end"/>
      </w:r>
      <w:r w:rsidR="006B1B4D">
        <w:t xml:space="preserve"> </w:t>
      </w:r>
      <w:r w:rsidRPr="00057AD1">
        <w:t>it is natural to ha</w:t>
      </w:r>
      <w:r w:rsidR="00537362" w:rsidRPr="00057AD1">
        <w:t xml:space="preserve">ve a </w:t>
      </w:r>
      <w:r w:rsidR="006B1B4D">
        <w:t>single</w:t>
      </w:r>
      <w:r w:rsidR="00537362" w:rsidRPr="00057AD1">
        <w:t xml:space="preserve"> measurement </w:t>
      </w:r>
      <w:r w:rsidR="006B1B4D">
        <w:t>for each subchannel (for both SA and data)</w:t>
      </w:r>
      <w:r w:rsidR="00537362" w:rsidRPr="00057AD1">
        <w:t xml:space="preserve">. Also note that for the latter </w:t>
      </w:r>
      <w:r w:rsidR="00537362" w:rsidRPr="00057AD1">
        <w:lastRenderedPageBreak/>
        <w:t xml:space="preserve">case SA and associated data are transmitted in the same subframe and contiguous in frequency. As a result, we expect that the transmitted power is distributed evenly across SA and data, giving no reason to measure SA and data separately. </w:t>
      </w:r>
      <w:r w:rsidR="006B1B4D">
        <w:t>Based on</w:t>
      </w:r>
      <w:r w:rsidR="006B1B4D" w:rsidRPr="00537362">
        <w:t xml:space="preserve"> </w:t>
      </w:r>
      <w:r w:rsidR="00997460" w:rsidRPr="00537362">
        <w:t>our analysis and proposals in Section</w:t>
      </w:r>
      <w:r w:rsidR="00243CE7">
        <w:t xml:space="preserve"> </w:t>
      </w:r>
      <w:r w:rsidR="00243CE7">
        <w:fldChar w:fldCharType="begin"/>
      </w:r>
      <w:r w:rsidR="00243CE7">
        <w:instrText xml:space="preserve"> REF _Ref458521846 \r \h </w:instrText>
      </w:r>
      <w:r w:rsidR="00243CE7">
        <w:fldChar w:fldCharType="separate"/>
      </w:r>
      <w:r w:rsidR="00243CE7">
        <w:t>2</w:t>
      </w:r>
      <w:r w:rsidR="00243CE7">
        <w:fldChar w:fldCharType="end"/>
      </w:r>
      <w:r w:rsidR="00997460" w:rsidRPr="00537362">
        <w:t xml:space="preserve"> we have the following proposal</w:t>
      </w:r>
      <w:r w:rsidR="006B1B4D">
        <w:t>s</w:t>
      </w:r>
      <w:r w:rsidR="00F54DAF" w:rsidRPr="00537362">
        <w:t xml:space="preserve"> on </w:t>
      </w:r>
      <w:r w:rsidR="006B1B4D">
        <w:t>power</w:t>
      </w:r>
      <w:r w:rsidR="006B1B4D" w:rsidRPr="00537362">
        <w:t xml:space="preserve"> </w:t>
      </w:r>
      <w:r w:rsidR="00F54DAF" w:rsidRPr="00537362">
        <w:t>measurements for sensing.</w:t>
      </w:r>
    </w:p>
    <w:p w:rsidR="00384964" w:rsidRPr="00057AD1" w:rsidRDefault="00384964" w:rsidP="00385C58">
      <w:pPr>
        <w:jc w:val="both"/>
        <w:rPr>
          <w:b/>
          <w:i/>
        </w:rPr>
      </w:pPr>
      <w:r w:rsidRPr="00537362">
        <w:rPr>
          <w:b/>
          <w:i/>
        </w:rPr>
        <w:t>Proposal</w:t>
      </w:r>
      <w:r w:rsidR="00F54DAF" w:rsidRPr="00537362">
        <w:rPr>
          <w:b/>
          <w:i/>
        </w:rPr>
        <w:t>s</w:t>
      </w:r>
      <w:r w:rsidRPr="00537362">
        <w:rPr>
          <w:b/>
          <w:i/>
        </w:rPr>
        <w:t>:</w:t>
      </w:r>
    </w:p>
    <w:p w:rsidR="00215887" w:rsidRPr="0035656A" w:rsidRDefault="00215887" w:rsidP="00057AD1">
      <w:pPr>
        <w:pStyle w:val="ListParagraph"/>
        <w:numPr>
          <w:ilvl w:val="0"/>
          <w:numId w:val="61"/>
        </w:numPr>
        <w:rPr>
          <w:b/>
          <w:i/>
        </w:rPr>
      </w:pPr>
      <w:r w:rsidRPr="00057AD1">
        <w:rPr>
          <w:rFonts w:ascii="Times New Roman" w:hAnsi="Times New Roman" w:cs="Times New Roman"/>
          <w:b/>
          <w:i/>
          <w:sz w:val="20"/>
          <w:szCs w:val="20"/>
        </w:rPr>
        <w:t xml:space="preserve">For a pool configuration that requires SA and data pools </w:t>
      </w:r>
      <w:r w:rsidR="006B1B4D">
        <w:rPr>
          <w:rFonts w:ascii="Times New Roman" w:hAnsi="Times New Roman" w:cs="Times New Roman"/>
          <w:b/>
          <w:i/>
          <w:sz w:val="20"/>
          <w:szCs w:val="20"/>
        </w:rPr>
        <w:t>to be</w:t>
      </w:r>
      <w:r w:rsidRPr="00057AD1">
        <w:rPr>
          <w:rFonts w:ascii="Times New Roman" w:hAnsi="Times New Roman" w:cs="Times New Roman"/>
          <w:b/>
          <w:i/>
          <w:sz w:val="20"/>
          <w:szCs w:val="20"/>
        </w:rPr>
        <w:t xml:space="preserve"> non-overlapping:</w:t>
      </w:r>
    </w:p>
    <w:p w:rsidR="00F54DAF" w:rsidRPr="00537362" w:rsidRDefault="003A237A" w:rsidP="00057AD1">
      <w:pPr>
        <w:pStyle w:val="ListParagraph"/>
        <w:numPr>
          <w:ilvl w:val="1"/>
          <w:numId w:val="61"/>
        </w:numPr>
        <w:rPr>
          <w:rFonts w:ascii="Times New Roman" w:hAnsi="Times New Roman" w:cs="Times New Roman"/>
          <w:b/>
          <w:i/>
          <w:sz w:val="20"/>
          <w:szCs w:val="20"/>
        </w:rPr>
      </w:pPr>
      <w:r w:rsidRPr="00537362">
        <w:rPr>
          <w:rFonts w:ascii="Times New Roman" w:hAnsi="Times New Roman" w:cs="Times New Roman"/>
          <w:b/>
          <w:i/>
          <w:sz w:val="20"/>
          <w:szCs w:val="20"/>
        </w:rPr>
        <w:t xml:space="preserve">Power </w:t>
      </w:r>
      <w:r w:rsidR="00F54DAF" w:rsidRPr="00537362">
        <w:rPr>
          <w:rFonts w:ascii="Times New Roman" w:hAnsi="Times New Roman" w:cs="Times New Roman"/>
          <w:b/>
          <w:i/>
          <w:sz w:val="20"/>
          <w:szCs w:val="20"/>
        </w:rPr>
        <w:t xml:space="preserve">measurements for SA and for data are separated and performed per TTI. </w:t>
      </w:r>
    </w:p>
    <w:p w:rsidR="00384964" w:rsidRPr="00537362" w:rsidRDefault="003A5F02" w:rsidP="00057AD1">
      <w:pPr>
        <w:pStyle w:val="ListParagraph"/>
        <w:numPr>
          <w:ilvl w:val="1"/>
          <w:numId w:val="61"/>
        </w:numPr>
        <w:rPr>
          <w:rFonts w:ascii="Times New Roman" w:hAnsi="Times New Roman" w:cs="Times New Roman"/>
          <w:b/>
          <w:i/>
          <w:sz w:val="20"/>
          <w:szCs w:val="20"/>
        </w:rPr>
      </w:pPr>
      <w:r w:rsidRPr="00537362">
        <w:rPr>
          <w:rFonts w:ascii="Times New Roman" w:hAnsi="Times New Roman" w:cs="Times New Roman"/>
          <w:b/>
          <w:i/>
          <w:sz w:val="20"/>
          <w:szCs w:val="20"/>
        </w:rPr>
        <w:t xml:space="preserve">Power </w:t>
      </w:r>
      <w:r w:rsidR="00384964" w:rsidRPr="00537362">
        <w:rPr>
          <w:rFonts w:ascii="Times New Roman" w:hAnsi="Times New Roman" w:cs="Times New Roman"/>
          <w:b/>
          <w:i/>
          <w:sz w:val="20"/>
          <w:szCs w:val="20"/>
        </w:rPr>
        <w:t>measurement</w:t>
      </w:r>
      <w:r w:rsidR="00F54DAF" w:rsidRPr="00537362">
        <w:rPr>
          <w:rFonts w:ascii="Times New Roman" w:hAnsi="Times New Roman" w:cs="Times New Roman"/>
          <w:b/>
          <w:i/>
          <w:sz w:val="20"/>
          <w:szCs w:val="20"/>
        </w:rPr>
        <w:t xml:space="preserve"> is performed per SA </w:t>
      </w:r>
      <w:r w:rsidR="006B1B4D" w:rsidRPr="00537362">
        <w:rPr>
          <w:rFonts w:ascii="Times New Roman" w:hAnsi="Times New Roman" w:cs="Times New Roman"/>
          <w:b/>
          <w:i/>
          <w:sz w:val="20"/>
          <w:szCs w:val="20"/>
        </w:rPr>
        <w:t>sub</w:t>
      </w:r>
      <w:r w:rsidR="006B1B4D">
        <w:rPr>
          <w:rFonts w:ascii="Times New Roman" w:hAnsi="Times New Roman" w:cs="Times New Roman"/>
          <w:b/>
          <w:i/>
          <w:sz w:val="20"/>
          <w:szCs w:val="20"/>
        </w:rPr>
        <w:t>channel</w:t>
      </w:r>
      <w:r w:rsidR="006B1B4D" w:rsidRPr="00537362">
        <w:rPr>
          <w:rFonts w:ascii="Times New Roman" w:hAnsi="Times New Roman" w:cs="Times New Roman"/>
          <w:b/>
          <w:i/>
          <w:sz w:val="20"/>
          <w:szCs w:val="20"/>
        </w:rPr>
        <w:t xml:space="preserve"> </w:t>
      </w:r>
      <w:r w:rsidR="00F54DAF" w:rsidRPr="00537362">
        <w:rPr>
          <w:rFonts w:ascii="Times New Roman" w:hAnsi="Times New Roman" w:cs="Times New Roman"/>
          <w:b/>
          <w:i/>
          <w:sz w:val="20"/>
          <w:szCs w:val="20"/>
        </w:rPr>
        <w:t xml:space="preserve">and per data </w:t>
      </w:r>
      <w:r w:rsidR="006B1B4D" w:rsidRPr="00537362">
        <w:rPr>
          <w:rFonts w:ascii="Times New Roman" w:hAnsi="Times New Roman" w:cs="Times New Roman"/>
          <w:b/>
          <w:i/>
          <w:sz w:val="20"/>
          <w:szCs w:val="20"/>
        </w:rPr>
        <w:t>sub</w:t>
      </w:r>
      <w:r w:rsidR="006B1B4D">
        <w:rPr>
          <w:rFonts w:ascii="Times New Roman" w:hAnsi="Times New Roman" w:cs="Times New Roman"/>
          <w:b/>
          <w:i/>
          <w:sz w:val="20"/>
          <w:szCs w:val="20"/>
        </w:rPr>
        <w:t>channel.</w:t>
      </w:r>
    </w:p>
    <w:p w:rsidR="00215887" w:rsidRPr="00057AD1" w:rsidRDefault="00215887">
      <w:pPr>
        <w:pStyle w:val="ListParagraph"/>
        <w:numPr>
          <w:ilvl w:val="0"/>
          <w:numId w:val="61"/>
        </w:numPr>
        <w:rPr>
          <w:rFonts w:ascii="Times New Roman" w:hAnsi="Times New Roman" w:cs="Times New Roman"/>
          <w:b/>
          <w:i/>
          <w:sz w:val="20"/>
          <w:szCs w:val="20"/>
        </w:rPr>
      </w:pPr>
      <w:r w:rsidRPr="00057AD1">
        <w:rPr>
          <w:rFonts w:ascii="Times New Roman" w:hAnsi="Times New Roman" w:cs="Times New Roman"/>
          <w:b/>
          <w:i/>
          <w:sz w:val="20"/>
          <w:szCs w:val="20"/>
        </w:rPr>
        <w:t>For a pool configuration that allow</w:t>
      </w:r>
      <w:r w:rsidR="00243CE7">
        <w:rPr>
          <w:rFonts w:ascii="Times New Roman" w:hAnsi="Times New Roman" w:cs="Times New Roman"/>
          <w:b/>
          <w:i/>
          <w:sz w:val="20"/>
          <w:szCs w:val="20"/>
        </w:rPr>
        <w:t>s</w:t>
      </w:r>
      <w:r w:rsidRPr="00057AD1">
        <w:rPr>
          <w:rFonts w:ascii="Times New Roman" w:hAnsi="Times New Roman" w:cs="Times New Roman"/>
          <w:b/>
          <w:i/>
          <w:sz w:val="20"/>
          <w:szCs w:val="20"/>
        </w:rPr>
        <w:t xml:space="preserve"> SA and data pools to be overlapping:</w:t>
      </w:r>
    </w:p>
    <w:p w:rsidR="00215887" w:rsidRPr="00057AD1" w:rsidRDefault="006B1B4D" w:rsidP="00057AD1">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A single p</w:t>
      </w:r>
      <w:r w:rsidR="00CA0F14" w:rsidRPr="00057AD1">
        <w:rPr>
          <w:rFonts w:ascii="Times New Roman" w:hAnsi="Times New Roman" w:cs="Times New Roman"/>
          <w:b/>
          <w:i/>
          <w:sz w:val="20"/>
          <w:szCs w:val="20"/>
        </w:rPr>
        <w:t xml:space="preserve">ower measurement </w:t>
      </w:r>
      <w:r>
        <w:rPr>
          <w:rFonts w:ascii="Times New Roman" w:hAnsi="Times New Roman" w:cs="Times New Roman"/>
          <w:b/>
          <w:i/>
          <w:sz w:val="20"/>
          <w:szCs w:val="20"/>
        </w:rPr>
        <w:t xml:space="preserve">for both SA and data </w:t>
      </w:r>
      <w:r w:rsidR="00CA0F14" w:rsidRPr="00057AD1">
        <w:rPr>
          <w:rFonts w:ascii="Times New Roman" w:hAnsi="Times New Roman" w:cs="Times New Roman"/>
          <w:b/>
          <w:i/>
          <w:sz w:val="20"/>
          <w:szCs w:val="20"/>
        </w:rPr>
        <w:t>is performed per sub</w:t>
      </w:r>
      <w:r>
        <w:rPr>
          <w:rFonts w:ascii="Times New Roman" w:hAnsi="Times New Roman" w:cs="Times New Roman"/>
          <w:b/>
          <w:i/>
          <w:sz w:val="20"/>
          <w:szCs w:val="20"/>
        </w:rPr>
        <w:t>channel</w:t>
      </w:r>
      <w:r w:rsidR="00CA0F14" w:rsidRPr="00057AD1">
        <w:rPr>
          <w:rFonts w:ascii="Times New Roman" w:hAnsi="Times New Roman" w:cs="Times New Roman"/>
          <w:b/>
          <w:i/>
          <w:sz w:val="20"/>
          <w:szCs w:val="20"/>
        </w:rPr>
        <w:t>.</w:t>
      </w:r>
    </w:p>
    <w:p w:rsidR="00D0339F" w:rsidRPr="00744368" w:rsidRDefault="00D0339F" w:rsidP="00D0339F">
      <w:pPr>
        <w:pStyle w:val="Heading1"/>
      </w:pPr>
      <w:r w:rsidRPr="00744368">
        <w:t>Conclusion</w:t>
      </w:r>
      <w:r w:rsidR="00A11B11" w:rsidRPr="00744368">
        <w:t xml:space="preserve"> </w:t>
      </w:r>
    </w:p>
    <w:p w:rsidR="0041339C" w:rsidRDefault="00EE6D3D" w:rsidP="00EE6D3D">
      <w:pPr>
        <w:pStyle w:val="BodyText"/>
        <w:spacing w:after="240"/>
        <w:rPr>
          <w:spacing w:val="2"/>
          <w:sz w:val="20"/>
          <w:szCs w:val="20"/>
        </w:rPr>
      </w:pPr>
      <w:r w:rsidRPr="00EE6D3D">
        <w:rPr>
          <w:spacing w:val="2"/>
          <w:sz w:val="20"/>
          <w:szCs w:val="20"/>
        </w:rPr>
        <w:t xml:space="preserve">In this paper we discuss the </w:t>
      </w:r>
      <w:r w:rsidR="00F54DAF">
        <w:rPr>
          <w:spacing w:val="2"/>
          <w:sz w:val="20"/>
          <w:szCs w:val="20"/>
        </w:rPr>
        <w:t xml:space="preserve">necessity of having </w:t>
      </w:r>
      <w:r w:rsidR="006B1B4D">
        <w:rPr>
          <w:spacing w:val="2"/>
          <w:sz w:val="20"/>
          <w:szCs w:val="20"/>
        </w:rPr>
        <w:t xml:space="preserve">subchannels </w:t>
      </w:r>
      <w:r w:rsidR="00F54DAF">
        <w:rPr>
          <w:spacing w:val="2"/>
          <w:sz w:val="20"/>
          <w:szCs w:val="20"/>
        </w:rPr>
        <w:t xml:space="preserve">and </w:t>
      </w:r>
      <w:r w:rsidRPr="00EE6D3D">
        <w:rPr>
          <w:spacing w:val="2"/>
          <w:sz w:val="20"/>
          <w:szCs w:val="20"/>
        </w:rPr>
        <w:t xml:space="preserve">details of </w:t>
      </w:r>
      <w:r w:rsidR="006B1B4D">
        <w:rPr>
          <w:spacing w:val="2"/>
          <w:sz w:val="20"/>
          <w:szCs w:val="20"/>
        </w:rPr>
        <w:t>power</w:t>
      </w:r>
      <w:r w:rsidR="006B1B4D" w:rsidRPr="00EE6D3D">
        <w:rPr>
          <w:spacing w:val="2"/>
          <w:sz w:val="20"/>
          <w:szCs w:val="20"/>
        </w:rPr>
        <w:t xml:space="preserve"> </w:t>
      </w:r>
      <w:r w:rsidRPr="00EE6D3D">
        <w:rPr>
          <w:spacing w:val="2"/>
          <w:sz w:val="20"/>
          <w:szCs w:val="20"/>
        </w:rPr>
        <w:t xml:space="preserve">measurement used for sensing in V2X networks. </w:t>
      </w:r>
    </w:p>
    <w:p w:rsidR="000B142C" w:rsidRPr="005F3D1E" w:rsidRDefault="000B142C" w:rsidP="000B142C">
      <w:pPr>
        <w:rPr>
          <w:b/>
          <w:i/>
        </w:rPr>
      </w:pPr>
      <w:r w:rsidRPr="005F3D1E">
        <w:rPr>
          <w:b/>
          <w:i/>
        </w:rPr>
        <w:t>Proposals:</w:t>
      </w:r>
    </w:p>
    <w:p w:rsidR="000B142C" w:rsidRDefault="000B142C" w:rsidP="000B142C">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For the case SA and data pools are non-overlapping:</w:t>
      </w:r>
    </w:p>
    <w:p w:rsidR="000B142C" w:rsidRDefault="000B142C" w:rsidP="000B142C">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Subchannelization applies to both PSCCH and PSCCH resources, as specified next.</w:t>
      </w:r>
    </w:p>
    <w:p w:rsidR="000B142C" w:rsidRDefault="000B142C" w:rsidP="000B142C">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The frequency resources for transmissions of data packets are divided into subchannels:</w:t>
      </w:r>
    </w:p>
    <w:p w:rsidR="000B142C" w:rsidRDefault="000B142C" w:rsidP="000B142C">
      <w:pPr>
        <w:pStyle w:val="ListParagraph"/>
        <w:numPr>
          <w:ilvl w:val="3"/>
          <w:numId w:val="61"/>
        </w:numPr>
        <w:rPr>
          <w:rFonts w:ascii="Times New Roman" w:hAnsi="Times New Roman" w:cs="Times New Roman"/>
          <w:b/>
          <w:i/>
          <w:sz w:val="20"/>
          <w:szCs w:val="20"/>
        </w:rPr>
      </w:pPr>
      <w:r>
        <w:rPr>
          <w:rFonts w:ascii="Times New Roman" w:hAnsi="Times New Roman" w:cs="Times New Roman"/>
          <w:b/>
          <w:i/>
          <w:sz w:val="20"/>
          <w:szCs w:val="20"/>
        </w:rPr>
        <w:t>2^k non-overlapping subchannels of (approximate) width 1/2^k are defined.</w:t>
      </w:r>
    </w:p>
    <w:p w:rsidR="000B142C" w:rsidRDefault="000B142C" w:rsidP="000B142C">
      <w:pPr>
        <w:pStyle w:val="ListParagraph"/>
        <w:numPr>
          <w:ilvl w:val="3"/>
          <w:numId w:val="61"/>
        </w:numPr>
        <w:rPr>
          <w:rFonts w:ascii="Times New Roman" w:hAnsi="Times New Roman" w:cs="Times New Roman"/>
          <w:b/>
          <w:i/>
          <w:sz w:val="20"/>
          <w:szCs w:val="20"/>
        </w:rPr>
      </w:pPr>
      <w:r>
        <w:rPr>
          <w:rFonts w:ascii="Times New Roman" w:hAnsi="Times New Roman" w:cs="Times New Roman"/>
          <w:b/>
          <w:i/>
          <w:sz w:val="20"/>
          <w:szCs w:val="20"/>
        </w:rPr>
        <w:t>Each (re)transmission of a TB occupies an integer number of subchannels.</w:t>
      </w:r>
    </w:p>
    <w:p w:rsidR="000B142C" w:rsidRPr="00E36149" w:rsidRDefault="000B142C" w:rsidP="000B142C">
      <w:pPr>
        <w:pStyle w:val="ListParagraph"/>
        <w:numPr>
          <w:ilvl w:val="2"/>
          <w:numId w:val="61"/>
        </w:numPr>
        <w:rPr>
          <w:rFonts w:ascii="Times New Roman" w:hAnsi="Times New Roman" w:cs="Times New Roman"/>
          <w:b/>
          <w:i/>
          <w:sz w:val="20"/>
          <w:szCs w:val="20"/>
        </w:rPr>
      </w:pPr>
      <w:r w:rsidRPr="00E36149">
        <w:rPr>
          <w:rFonts w:ascii="Times New Roman" w:hAnsi="Times New Roman" w:cs="Times New Roman"/>
          <w:b/>
          <w:i/>
          <w:sz w:val="20"/>
          <w:szCs w:val="20"/>
        </w:rPr>
        <w:t>The frequency resources for transmission</w:t>
      </w:r>
      <w:r>
        <w:rPr>
          <w:rFonts w:ascii="Times New Roman" w:hAnsi="Times New Roman" w:cs="Times New Roman"/>
          <w:b/>
          <w:i/>
          <w:sz w:val="20"/>
          <w:szCs w:val="20"/>
        </w:rPr>
        <w:t>s</w:t>
      </w:r>
      <w:r w:rsidRPr="00E36149">
        <w:rPr>
          <w:rFonts w:ascii="Times New Roman" w:hAnsi="Times New Roman" w:cs="Times New Roman"/>
          <w:b/>
          <w:i/>
          <w:sz w:val="20"/>
          <w:szCs w:val="20"/>
        </w:rPr>
        <w:t xml:space="preserve"> of SA </w:t>
      </w:r>
      <w:r>
        <w:rPr>
          <w:rFonts w:ascii="Times New Roman" w:hAnsi="Times New Roman" w:cs="Times New Roman"/>
          <w:b/>
          <w:i/>
          <w:sz w:val="20"/>
          <w:szCs w:val="20"/>
        </w:rPr>
        <w:t xml:space="preserve">packets </w:t>
      </w:r>
      <w:r w:rsidRPr="00E36149">
        <w:rPr>
          <w:rFonts w:ascii="Times New Roman" w:hAnsi="Times New Roman" w:cs="Times New Roman"/>
          <w:b/>
          <w:i/>
          <w:sz w:val="20"/>
          <w:szCs w:val="20"/>
        </w:rPr>
        <w:t>are divided in</w:t>
      </w:r>
      <w:r>
        <w:rPr>
          <w:rFonts w:ascii="Times New Roman" w:hAnsi="Times New Roman" w:cs="Times New Roman"/>
          <w:b/>
          <w:i/>
          <w:sz w:val="20"/>
          <w:szCs w:val="20"/>
        </w:rPr>
        <w:t>to</w:t>
      </w:r>
      <w:r w:rsidRPr="00E36149">
        <w:rPr>
          <w:rFonts w:ascii="Times New Roman" w:hAnsi="Times New Roman" w:cs="Times New Roman"/>
          <w:b/>
          <w:i/>
          <w:sz w:val="20"/>
          <w:szCs w:val="20"/>
        </w:rPr>
        <w:t xml:space="preserve"> </w:t>
      </w:r>
      <w:r>
        <w:rPr>
          <w:rFonts w:ascii="Times New Roman" w:hAnsi="Times New Roman" w:cs="Times New Roman"/>
          <w:b/>
          <w:i/>
          <w:sz w:val="20"/>
          <w:szCs w:val="20"/>
        </w:rPr>
        <w:t>2^k</w:t>
      </w:r>
      <w:r w:rsidRPr="00E36149">
        <w:rPr>
          <w:rFonts w:ascii="Times New Roman" w:hAnsi="Times New Roman" w:cs="Times New Roman"/>
          <w:b/>
          <w:i/>
          <w:sz w:val="20"/>
          <w:szCs w:val="20"/>
        </w:rPr>
        <w:t xml:space="preserve"> non-overlapping </w:t>
      </w:r>
      <w:r>
        <w:rPr>
          <w:rFonts w:ascii="Times New Roman" w:hAnsi="Times New Roman" w:cs="Times New Roman"/>
          <w:b/>
          <w:i/>
          <w:sz w:val="20"/>
          <w:szCs w:val="20"/>
        </w:rPr>
        <w:t>subchannel</w:t>
      </w:r>
      <w:r w:rsidRPr="00E36149">
        <w:rPr>
          <w:rFonts w:ascii="Times New Roman" w:hAnsi="Times New Roman" w:cs="Times New Roman"/>
          <w:b/>
          <w:i/>
          <w:sz w:val="20"/>
          <w:szCs w:val="20"/>
        </w:rPr>
        <w:t>s.</w:t>
      </w:r>
    </w:p>
    <w:p w:rsidR="000B142C" w:rsidRPr="00E36149" w:rsidRDefault="000B142C" w:rsidP="000B142C">
      <w:pPr>
        <w:pStyle w:val="ListParagraph"/>
        <w:numPr>
          <w:ilvl w:val="3"/>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Each </w:t>
      </w:r>
      <w:r>
        <w:rPr>
          <w:rFonts w:ascii="Times New Roman" w:hAnsi="Times New Roman" w:cs="Times New Roman"/>
          <w:b/>
          <w:i/>
          <w:sz w:val="20"/>
          <w:szCs w:val="20"/>
        </w:rPr>
        <w:t>subchannel</w:t>
      </w:r>
      <w:r w:rsidRPr="00E36149">
        <w:rPr>
          <w:rFonts w:ascii="Times New Roman" w:hAnsi="Times New Roman" w:cs="Times New Roman"/>
          <w:b/>
          <w:i/>
          <w:sz w:val="20"/>
          <w:szCs w:val="20"/>
        </w:rPr>
        <w:t xml:space="preserve"> consists of a number of contiguous </w:t>
      </w:r>
      <w:r>
        <w:rPr>
          <w:rFonts w:ascii="Times New Roman" w:hAnsi="Times New Roman" w:cs="Times New Roman"/>
          <w:b/>
          <w:i/>
          <w:sz w:val="20"/>
          <w:szCs w:val="20"/>
        </w:rPr>
        <w:t>P</w:t>
      </w:r>
      <w:r w:rsidRPr="00E36149">
        <w:rPr>
          <w:rFonts w:ascii="Times New Roman" w:hAnsi="Times New Roman" w:cs="Times New Roman"/>
          <w:b/>
          <w:i/>
          <w:sz w:val="20"/>
          <w:szCs w:val="20"/>
        </w:rPr>
        <w:t>RBs equal to the size of the SA.</w:t>
      </w:r>
    </w:p>
    <w:p w:rsidR="000B142C" w:rsidRDefault="000B142C" w:rsidP="000B142C">
      <w:pPr>
        <w:pStyle w:val="ListParagraph"/>
        <w:numPr>
          <w:ilvl w:val="3"/>
          <w:numId w:val="61"/>
        </w:numPr>
        <w:rPr>
          <w:rFonts w:ascii="Times New Roman" w:hAnsi="Times New Roman" w:cs="Times New Roman"/>
          <w:b/>
          <w:i/>
          <w:sz w:val="20"/>
          <w:szCs w:val="20"/>
        </w:rPr>
      </w:pPr>
      <w:r w:rsidRPr="00E36149">
        <w:rPr>
          <w:rFonts w:ascii="Times New Roman" w:hAnsi="Times New Roman" w:cs="Times New Roman"/>
          <w:b/>
          <w:i/>
          <w:sz w:val="20"/>
          <w:szCs w:val="20"/>
        </w:rPr>
        <w:t xml:space="preserve">Each </w:t>
      </w:r>
      <w:r>
        <w:rPr>
          <w:rFonts w:ascii="Times New Roman" w:hAnsi="Times New Roman" w:cs="Times New Roman"/>
          <w:b/>
          <w:i/>
          <w:sz w:val="20"/>
          <w:szCs w:val="20"/>
        </w:rPr>
        <w:t xml:space="preserve">(re)transmission of an </w:t>
      </w:r>
      <w:r w:rsidRPr="00E36149">
        <w:rPr>
          <w:rFonts w:ascii="Times New Roman" w:hAnsi="Times New Roman" w:cs="Times New Roman"/>
          <w:b/>
          <w:i/>
          <w:sz w:val="20"/>
          <w:szCs w:val="20"/>
        </w:rPr>
        <w:t xml:space="preserve">SA occupies </w:t>
      </w:r>
      <w:r>
        <w:rPr>
          <w:rFonts w:ascii="Times New Roman" w:hAnsi="Times New Roman" w:cs="Times New Roman"/>
          <w:b/>
          <w:i/>
          <w:sz w:val="20"/>
          <w:szCs w:val="20"/>
        </w:rPr>
        <w:t>an integer number of subchannels</w:t>
      </w:r>
      <w:r w:rsidRPr="00E36149">
        <w:rPr>
          <w:rFonts w:ascii="Times New Roman" w:hAnsi="Times New Roman" w:cs="Times New Roman"/>
          <w:b/>
          <w:i/>
          <w:sz w:val="20"/>
          <w:szCs w:val="20"/>
        </w:rPr>
        <w:t>.</w:t>
      </w:r>
    </w:p>
    <w:p w:rsidR="000B142C" w:rsidRDefault="000B142C" w:rsidP="000B142C">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A data subchannel is always scheduled by the same SA subchannel.</w:t>
      </w:r>
    </w:p>
    <w:p w:rsidR="000B142C" w:rsidRDefault="000B142C" w:rsidP="000B142C">
      <w:pPr>
        <w:pStyle w:val="ListParagraph"/>
        <w:numPr>
          <w:ilvl w:val="3"/>
          <w:numId w:val="61"/>
        </w:numPr>
        <w:rPr>
          <w:rFonts w:ascii="Times New Roman" w:hAnsi="Times New Roman" w:cs="Times New Roman"/>
          <w:b/>
          <w:i/>
          <w:sz w:val="20"/>
          <w:szCs w:val="20"/>
        </w:rPr>
      </w:pPr>
      <w:r>
        <w:rPr>
          <w:rFonts w:ascii="Times New Roman" w:hAnsi="Times New Roman" w:cs="Times New Roman"/>
          <w:b/>
          <w:i/>
          <w:sz w:val="20"/>
          <w:szCs w:val="20"/>
        </w:rPr>
        <w:t>For a given data subchannel width, each data subchannel is scheduled by a different SA subchannel.</w:t>
      </w:r>
    </w:p>
    <w:p w:rsidR="000B142C" w:rsidRDefault="000B142C" w:rsidP="000B142C">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For a 10 MHz carrier k=2.</w:t>
      </w:r>
    </w:p>
    <w:p w:rsidR="000B142C" w:rsidRPr="00E36149" w:rsidRDefault="000B142C" w:rsidP="000B142C">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FFS: k for other system bandwidths.</w:t>
      </w:r>
    </w:p>
    <w:p w:rsidR="000B142C" w:rsidRDefault="000B142C" w:rsidP="000B142C">
      <w:pPr>
        <w:pStyle w:val="ListParagraph"/>
        <w:numPr>
          <w:ilvl w:val="0"/>
          <w:numId w:val="61"/>
        </w:numPr>
        <w:rPr>
          <w:b/>
          <w:i/>
        </w:rPr>
      </w:pPr>
      <w:r w:rsidRPr="00057AD1">
        <w:rPr>
          <w:rFonts w:ascii="Times New Roman" w:hAnsi="Times New Roman" w:cs="Times New Roman"/>
          <w:b/>
          <w:i/>
          <w:sz w:val="20"/>
          <w:szCs w:val="20"/>
        </w:rPr>
        <w:t>For the case SA and associated data are transmitted in the same subframe</w:t>
      </w:r>
      <w:r>
        <w:rPr>
          <w:rFonts w:ascii="Times New Roman" w:hAnsi="Times New Roman" w:cs="Times New Roman"/>
          <w:b/>
          <w:i/>
          <w:sz w:val="20"/>
          <w:szCs w:val="20"/>
        </w:rPr>
        <w:t xml:space="preserve"> and SA and data pools are overlapping</w:t>
      </w:r>
      <w:r w:rsidRPr="00057AD1">
        <w:rPr>
          <w:rFonts w:ascii="Times New Roman" w:hAnsi="Times New Roman" w:cs="Times New Roman"/>
          <w:b/>
          <w:i/>
          <w:sz w:val="20"/>
          <w:szCs w:val="20"/>
        </w:rPr>
        <w:t>:</w:t>
      </w:r>
    </w:p>
    <w:p w:rsidR="000B142C" w:rsidRDefault="000B142C" w:rsidP="000B142C">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The frequency resources for transmissions of SA+data packets are divided into subchannels:</w:t>
      </w:r>
    </w:p>
    <w:p w:rsidR="000B142C" w:rsidRDefault="000B142C" w:rsidP="000B142C">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2^k non-overlapping subchannels of (approximate) width 1/2^k are defined</w:t>
      </w:r>
    </w:p>
    <w:p w:rsidR="000B142C" w:rsidRDefault="000B142C" w:rsidP="000B142C">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Each subchannel can be used to transmit SA+data or data only.</w:t>
      </w:r>
    </w:p>
    <w:p w:rsidR="000B142C" w:rsidRDefault="000B142C" w:rsidP="000B142C">
      <w:pPr>
        <w:pStyle w:val="ListParagraph"/>
        <w:numPr>
          <w:ilvl w:val="2"/>
          <w:numId w:val="61"/>
        </w:numPr>
        <w:rPr>
          <w:rFonts w:ascii="Times New Roman" w:hAnsi="Times New Roman" w:cs="Times New Roman"/>
          <w:b/>
          <w:i/>
          <w:sz w:val="20"/>
          <w:szCs w:val="20"/>
        </w:rPr>
      </w:pPr>
      <w:r>
        <w:rPr>
          <w:rFonts w:ascii="Times New Roman" w:hAnsi="Times New Roman" w:cs="Times New Roman"/>
          <w:b/>
          <w:i/>
          <w:sz w:val="20"/>
          <w:szCs w:val="20"/>
        </w:rPr>
        <w:t>Each (re)transmission of SA+data or data only of a TB occupies an integer number of subchannels.</w:t>
      </w:r>
    </w:p>
    <w:p w:rsidR="000B142C" w:rsidRDefault="000B142C" w:rsidP="00EE6D3D">
      <w:pPr>
        <w:pStyle w:val="BodyText"/>
        <w:spacing w:after="240"/>
        <w:rPr>
          <w:spacing w:val="2"/>
          <w:sz w:val="20"/>
          <w:szCs w:val="20"/>
        </w:rPr>
      </w:pPr>
    </w:p>
    <w:p w:rsidR="000B142C" w:rsidRPr="00057AD1" w:rsidRDefault="000B142C" w:rsidP="000B142C">
      <w:pPr>
        <w:jc w:val="both"/>
        <w:rPr>
          <w:b/>
          <w:i/>
        </w:rPr>
      </w:pPr>
      <w:r w:rsidRPr="00537362">
        <w:rPr>
          <w:b/>
          <w:i/>
        </w:rPr>
        <w:t>Proposals:</w:t>
      </w:r>
    </w:p>
    <w:p w:rsidR="000B142C" w:rsidRPr="0035656A" w:rsidRDefault="000B142C" w:rsidP="000B142C">
      <w:pPr>
        <w:pStyle w:val="ListParagraph"/>
        <w:numPr>
          <w:ilvl w:val="0"/>
          <w:numId w:val="61"/>
        </w:numPr>
        <w:rPr>
          <w:b/>
          <w:i/>
        </w:rPr>
      </w:pPr>
      <w:r w:rsidRPr="00057AD1">
        <w:rPr>
          <w:rFonts w:ascii="Times New Roman" w:hAnsi="Times New Roman" w:cs="Times New Roman"/>
          <w:b/>
          <w:i/>
          <w:sz w:val="20"/>
          <w:szCs w:val="20"/>
        </w:rPr>
        <w:t xml:space="preserve">For a pool configuration that requires SA and data pools </w:t>
      </w:r>
      <w:r>
        <w:rPr>
          <w:rFonts w:ascii="Times New Roman" w:hAnsi="Times New Roman" w:cs="Times New Roman"/>
          <w:b/>
          <w:i/>
          <w:sz w:val="20"/>
          <w:szCs w:val="20"/>
        </w:rPr>
        <w:t>to be</w:t>
      </w:r>
      <w:r w:rsidRPr="00057AD1">
        <w:rPr>
          <w:rFonts w:ascii="Times New Roman" w:hAnsi="Times New Roman" w:cs="Times New Roman"/>
          <w:b/>
          <w:i/>
          <w:sz w:val="20"/>
          <w:szCs w:val="20"/>
        </w:rPr>
        <w:t xml:space="preserve"> non-overlapping:</w:t>
      </w:r>
    </w:p>
    <w:p w:rsidR="000B142C" w:rsidRPr="00537362" w:rsidRDefault="000B142C" w:rsidP="000B142C">
      <w:pPr>
        <w:pStyle w:val="ListParagraph"/>
        <w:numPr>
          <w:ilvl w:val="1"/>
          <w:numId w:val="61"/>
        </w:numPr>
        <w:rPr>
          <w:rFonts w:ascii="Times New Roman" w:hAnsi="Times New Roman" w:cs="Times New Roman"/>
          <w:b/>
          <w:i/>
          <w:sz w:val="20"/>
          <w:szCs w:val="20"/>
        </w:rPr>
      </w:pPr>
      <w:r w:rsidRPr="00537362">
        <w:rPr>
          <w:rFonts w:ascii="Times New Roman" w:hAnsi="Times New Roman" w:cs="Times New Roman"/>
          <w:b/>
          <w:i/>
          <w:sz w:val="20"/>
          <w:szCs w:val="20"/>
        </w:rPr>
        <w:t xml:space="preserve">Power measurements for SA and for data are separated and performed per TTI. </w:t>
      </w:r>
    </w:p>
    <w:p w:rsidR="000B142C" w:rsidRPr="00537362" w:rsidRDefault="000B142C" w:rsidP="000B142C">
      <w:pPr>
        <w:pStyle w:val="ListParagraph"/>
        <w:numPr>
          <w:ilvl w:val="1"/>
          <w:numId w:val="61"/>
        </w:numPr>
        <w:rPr>
          <w:rFonts w:ascii="Times New Roman" w:hAnsi="Times New Roman" w:cs="Times New Roman"/>
          <w:b/>
          <w:i/>
          <w:sz w:val="20"/>
          <w:szCs w:val="20"/>
        </w:rPr>
      </w:pPr>
      <w:r w:rsidRPr="00537362">
        <w:rPr>
          <w:rFonts w:ascii="Times New Roman" w:hAnsi="Times New Roman" w:cs="Times New Roman"/>
          <w:b/>
          <w:i/>
          <w:sz w:val="20"/>
          <w:szCs w:val="20"/>
        </w:rPr>
        <w:t>Power measurement is performed per SA sub</w:t>
      </w:r>
      <w:r>
        <w:rPr>
          <w:rFonts w:ascii="Times New Roman" w:hAnsi="Times New Roman" w:cs="Times New Roman"/>
          <w:b/>
          <w:i/>
          <w:sz w:val="20"/>
          <w:szCs w:val="20"/>
        </w:rPr>
        <w:t>channel</w:t>
      </w:r>
      <w:r w:rsidRPr="00537362">
        <w:rPr>
          <w:rFonts w:ascii="Times New Roman" w:hAnsi="Times New Roman" w:cs="Times New Roman"/>
          <w:b/>
          <w:i/>
          <w:sz w:val="20"/>
          <w:szCs w:val="20"/>
        </w:rPr>
        <w:t xml:space="preserve"> and per data sub</w:t>
      </w:r>
      <w:r>
        <w:rPr>
          <w:rFonts w:ascii="Times New Roman" w:hAnsi="Times New Roman" w:cs="Times New Roman"/>
          <w:b/>
          <w:i/>
          <w:sz w:val="20"/>
          <w:szCs w:val="20"/>
        </w:rPr>
        <w:t>channel.</w:t>
      </w:r>
    </w:p>
    <w:p w:rsidR="000B142C" w:rsidRPr="00057AD1" w:rsidRDefault="000B142C" w:rsidP="000B142C">
      <w:pPr>
        <w:pStyle w:val="ListParagraph"/>
        <w:numPr>
          <w:ilvl w:val="0"/>
          <w:numId w:val="61"/>
        </w:numPr>
        <w:rPr>
          <w:rFonts w:ascii="Times New Roman" w:hAnsi="Times New Roman" w:cs="Times New Roman"/>
          <w:b/>
          <w:i/>
          <w:sz w:val="20"/>
          <w:szCs w:val="20"/>
        </w:rPr>
      </w:pPr>
      <w:r w:rsidRPr="00057AD1">
        <w:rPr>
          <w:rFonts w:ascii="Times New Roman" w:hAnsi="Times New Roman" w:cs="Times New Roman"/>
          <w:b/>
          <w:i/>
          <w:sz w:val="20"/>
          <w:szCs w:val="20"/>
        </w:rPr>
        <w:t>For a pool configuration that allow</w:t>
      </w:r>
      <w:r>
        <w:rPr>
          <w:rFonts w:ascii="Times New Roman" w:hAnsi="Times New Roman" w:cs="Times New Roman"/>
          <w:b/>
          <w:i/>
          <w:sz w:val="20"/>
          <w:szCs w:val="20"/>
        </w:rPr>
        <w:t>s</w:t>
      </w:r>
      <w:r w:rsidRPr="00057AD1">
        <w:rPr>
          <w:rFonts w:ascii="Times New Roman" w:hAnsi="Times New Roman" w:cs="Times New Roman"/>
          <w:b/>
          <w:i/>
          <w:sz w:val="20"/>
          <w:szCs w:val="20"/>
        </w:rPr>
        <w:t xml:space="preserve"> SA and data pools to be overlapping:</w:t>
      </w:r>
    </w:p>
    <w:p w:rsidR="000B142C" w:rsidRPr="00057AD1" w:rsidRDefault="000B142C" w:rsidP="000B142C">
      <w:pPr>
        <w:pStyle w:val="ListParagraph"/>
        <w:numPr>
          <w:ilvl w:val="1"/>
          <w:numId w:val="61"/>
        </w:numPr>
        <w:rPr>
          <w:rFonts w:ascii="Times New Roman" w:hAnsi="Times New Roman" w:cs="Times New Roman"/>
          <w:b/>
          <w:i/>
          <w:sz w:val="20"/>
          <w:szCs w:val="20"/>
        </w:rPr>
      </w:pPr>
      <w:r>
        <w:rPr>
          <w:rFonts w:ascii="Times New Roman" w:hAnsi="Times New Roman" w:cs="Times New Roman"/>
          <w:b/>
          <w:i/>
          <w:sz w:val="20"/>
          <w:szCs w:val="20"/>
        </w:rPr>
        <w:t>A single p</w:t>
      </w:r>
      <w:r w:rsidRPr="00057AD1">
        <w:rPr>
          <w:rFonts w:ascii="Times New Roman" w:hAnsi="Times New Roman" w:cs="Times New Roman"/>
          <w:b/>
          <w:i/>
          <w:sz w:val="20"/>
          <w:szCs w:val="20"/>
        </w:rPr>
        <w:t xml:space="preserve">ower measurement </w:t>
      </w:r>
      <w:r>
        <w:rPr>
          <w:rFonts w:ascii="Times New Roman" w:hAnsi="Times New Roman" w:cs="Times New Roman"/>
          <w:b/>
          <w:i/>
          <w:sz w:val="20"/>
          <w:szCs w:val="20"/>
        </w:rPr>
        <w:t xml:space="preserve">for both SA and data </w:t>
      </w:r>
      <w:r w:rsidRPr="00057AD1">
        <w:rPr>
          <w:rFonts w:ascii="Times New Roman" w:hAnsi="Times New Roman" w:cs="Times New Roman"/>
          <w:b/>
          <w:i/>
          <w:sz w:val="20"/>
          <w:szCs w:val="20"/>
        </w:rPr>
        <w:t>is performed per sub</w:t>
      </w:r>
      <w:r>
        <w:rPr>
          <w:rFonts w:ascii="Times New Roman" w:hAnsi="Times New Roman" w:cs="Times New Roman"/>
          <w:b/>
          <w:i/>
          <w:sz w:val="20"/>
          <w:szCs w:val="20"/>
        </w:rPr>
        <w:t>channel</w:t>
      </w:r>
      <w:r w:rsidRPr="00057AD1">
        <w:rPr>
          <w:rFonts w:ascii="Times New Roman" w:hAnsi="Times New Roman" w:cs="Times New Roman"/>
          <w:b/>
          <w:i/>
          <w:sz w:val="20"/>
          <w:szCs w:val="20"/>
        </w:rPr>
        <w:t>.</w:t>
      </w:r>
    </w:p>
    <w:p w:rsidR="000B142C" w:rsidRDefault="000B142C" w:rsidP="00EE6D3D">
      <w:pPr>
        <w:pStyle w:val="BodyText"/>
        <w:spacing w:after="240"/>
        <w:rPr>
          <w:spacing w:val="2"/>
          <w:sz w:val="20"/>
          <w:szCs w:val="20"/>
        </w:rPr>
      </w:pPr>
    </w:p>
    <w:p w:rsidR="009A1074" w:rsidRPr="00DA1475" w:rsidRDefault="00C02A80" w:rsidP="00856691">
      <w:pPr>
        <w:pStyle w:val="Heading1"/>
      </w:pPr>
      <w:r w:rsidRPr="00DA1475">
        <w:t>Reference</w:t>
      </w:r>
    </w:p>
    <w:p w:rsidR="00057AD1" w:rsidRPr="0015794E" w:rsidRDefault="00057AD1" w:rsidP="00472FE6">
      <w:pPr>
        <w:pStyle w:val="ListParagraph"/>
        <w:numPr>
          <w:ilvl w:val="0"/>
          <w:numId w:val="55"/>
        </w:numPr>
        <w:ind w:left="709" w:hanging="425"/>
        <w:rPr>
          <w:rFonts w:ascii="Times New Roman" w:hAnsi="Times New Roman" w:cs="Times New Roman"/>
          <w:color w:val="312E25"/>
          <w:sz w:val="20"/>
          <w:szCs w:val="20"/>
          <w:lang w:eastAsia="sv-SE"/>
        </w:rPr>
      </w:pPr>
      <w:bookmarkStart w:id="14" w:name="_Ref458521579"/>
      <w:bookmarkStart w:id="15" w:name="_Ref447199324"/>
      <w:bookmarkStart w:id="16" w:name="_Ref447198192"/>
      <w:r>
        <w:rPr>
          <w:rFonts w:ascii="Times New Roman" w:hAnsi="Times New Roman" w:cs="Times New Roman"/>
          <w:color w:val="312E25"/>
          <w:sz w:val="20"/>
          <w:szCs w:val="20"/>
          <w:lang w:eastAsia="sv-SE"/>
        </w:rPr>
        <w:t>R1-</w:t>
      </w:r>
      <w:r w:rsidR="00221B32">
        <w:rPr>
          <w:rFonts w:ascii="Times New Roman" w:hAnsi="Times New Roman" w:cs="Times New Roman"/>
          <w:color w:val="312E25"/>
          <w:sz w:val="20"/>
          <w:szCs w:val="20"/>
          <w:lang w:eastAsia="sv-SE"/>
        </w:rPr>
        <w:t>166963</w:t>
      </w:r>
      <w:r>
        <w:rPr>
          <w:rFonts w:ascii="Times New Roman" w:hAnsi="Times New Roman" w:cs="Times New Roman"/>
          <w:color w:val="312E25"/>
          <w:sz w:val="20"/>
          <w:szCs w:val="20"/>
          <w:lang w:eastAsia="sv-SE"/>
        </w:rPr>
        <w:t>, Issues of orthogonal SA and data pools</w:t>
      </w:r>
      <w:bookmarkEnd w:id="14"/>
      <w:r w:rsidR="00221B32">
        <w:rPr>
          <w:rFonts w:ascii="Times New Roman" w:hAnsi="Times New Roman" w:cs="Times New Roman"/>
          <w:color w:val="312E25"/>
          <w:sz w:val="20"/>
          <w:szCs w:val="20"/>
          <w:lang w:eastAsia="sv-SE"/>
        </w:rPr>
        <w:t>, Ericsson</w:t>
      </w:r>
    </w:p>
    <w:bookmarkEnd w:id="15"/>
    <w:bookmarkEnd w:id="16"/>
    <w:p w:rsidR="00B63B22" w:rsidRPr="00DD79E2" w:rsidRDefault="00B63B22" w:rsidP="00A47222">
      <w:pPr>
        <w:pStyle w:val="ListParagraph"/>
        <w:ind w:left="709"/>
        <w:rPr>
          <w:rFonts w:ascii="Times New Roman" w:hAnsi="Times New Roman" w:cs="Times New Roman"/>
          <w:color w:val="312E25"/>
          <w:highlight w:val="yellow"/>
          <w:lang w:eastAsia="sv-SE"/>
        </w:rPr>
      </w:pPr>
    </w:p>
    <w:p w:rsidR="004206EB" w:rsidRPr="004D5559" w:rsidRDefault="004206EB" w:rsidP="00B707F1">
      <w:pPr>
        <w:rPr>
          <w:lang w:val="en-US"/>
        </w:rPr>
      </w:pPr>
    </w:p>
    <w:sectPr w:rsidR="004206EB" w:rsidRPr="004D5559"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87E" w:rsidRDefault="0079687E">
      <w:r>
        <w:separator/>
      </w:r>
    </w:p>
  </w:endnote>
  <w:endnote w:type="continuationSeparator" w:id="0">
    <w:p w:rsidR="0079687E" w:rsidRDefault="0079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5C0" w:rsidRDefault="00312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5C0" w:rsidRDefault="00312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5C0" w:rsidRDefault="00312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87E" w:rsidRDefault="0079687E">
      <w:r>
        <w:separator/>
      </w:r>
    </w:p>
  </w:footnote>
  <w:footnote w:type="continuationSeparator" w:id="0">
    <w:p w:rsidR="0079687E" w:rsidRDefault="00796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5C0" w:rsidRDefault="003125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5C0" w:rsidRDefault="00312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5C0" w:rsidRDefault="00312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A03D3B"/>
    <w:multiLevelType w:val="hybridMultilevel"/>
    <w:tmpl w:val="98C0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8459D"/>
    <w:multiLevelType w:val="hybridMultilevel"/>
    <w:tmpl w:val="CC768224"/>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075BA"/>
    <w:multiLevelType w:val="hybridMultilevel"/>
    <w:tmpl w:val="5978D52E"/>
    <w:lvl w:ilvl="0" w:tplc="4EE2C8C8">
      <w:numFmt w:val="bullet"/>
      <w:lvlText w:val="-"/>
      <w:lvlJc w:val="left"/>
      <w:pPr>
        <w:ind w:left="720" w:hanging="360"/>
      </w:pPr>
      <w:rPr>
        <w:rFonts w:ascii="Times New Roman" w:eastAsia="SimSun"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2C14C7"/>
    <w:multiLevelType w:val="hybridMultilevel"/>
    <w:tmpl w:val="9EF2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36113"/>
    <w:multiLevelType w:val="hybridMultilevel"/>
    <w:tmpl w:val="E278B4D6"/>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64A55"/>
    <w:multiLevelType w:val="hybridMultilevel"/>
    <w:tmpl w:val="D640D38A"/>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69F7D65"/>
    <w:multiLevelType w:val="hybridMultilevel"/>
    <w:tmpl w:val="9B463912"/>
    <w:lvl w:ilvl="0" w:tplc="F5EC0458">
      <w:start w:val="1"/>
      <w:numFmt w:val="bullet"/>
      <w:lvlText w:val="•"/>
      <w:lvlJc w:val="left"/>
      <w:pPr>
        <w:tabs>
          <w:tab w:val="num" w:pos="720"/>
        </w:tabs>
        <w:ind w:left="720" w:hanging="360"/>
      </w:pPr>
      <w:rPr>
        <w:rFonts w:ascii="Arial" w:hAnsi="Arial" w:hint="default"/>
      </w:rPr>
    </w:lvl>
    <w:lvl w:ilvl="1" w:tplc="256E4C3C">
      <w:numFmt w:val="bullet"/>
      <w:lvlText w:val="–"/>
      <w:lvlJc w:val="left"/>
      <w:pPr>
        <w:tabs>
          <w:tab w:val="num" w:pos="1440"/>
        </w:tabs>
        <w:ind w:left="1440" w:hanging="360"/>
      </w:pPr>
      <w:rPr>
        <w:rFonts w:ascii="Arial" w:hAnsi="Arial" w:hint="default"/>
      </w:rPr>
    </w:lvl>
    <w:lvl w:ilvl="2" w:tplc="1B865D60">
      <w:numFmt w:val="bullet"/>
      <w:lvlText w:val="•"/>
      <w:lvlJc w:val="left"/>
      <w:pPr>
        <w:tabs>
          <w:tab w:val="num" w:pos="2160"/>
        </w:tabs>
        <w:ind w:left="2160" w:hanging="360"/>
      </w:pPr>
      <w:rPr>
        <w:rFonts w:ascii="Arial" w:hAnsi="Arial" w:hint="default"/>
      </w:rPr>
    </w:lvl>
    <w:lvl w:ilvl="3" w:tplc="B506380C" w:tentative="1">
      <w:start w:val="1"/>
      <w:numFmt w:val="bullet"/>
      <w:lvlText w:val="•"/>
      <w:lvlJc w:val="left"/>
      <w:pPr>
        <w:tabs>
          <w:tab w:val="num" w:pos="2880"/>
        </w:tabs>
        <w:ind w:left="2880" w:hanging="360"/>
      </w:pPr>
      <w:rPr>
        <w:rFonts w:ascii="Arial" w:hAnsi="Arial" w:hint="default"/>
      </w:rPr>
    </w:lvl>
    <w:lvl w:ilvl="4" w:tplc="89B215FA" w:tentative="1">
      <w:start w:val="1"/>
      <w:numFmt w:val="bullet"/>
      <w:lvlText w:val="•"/>
      <w:lvlJc w:val="left"/>
      <w:pPr>
        <w:tabs>
          <w:tab w:val="num" w:pos="3600"/>
        </w:tabs>
        <w:ind w:left="3600" w:hanging="360"/>
      </w:pPr>
      <w:rPr>
        <w:rFonts w:ascii="Arial" w:hAnsi="Arial" w:hint="default"/>
      </w:rPr>
    </w:lvl>
    <w:lvl w:ilvl="5" w:tplc="9244A73A" w:tentative="1">
      <w:start w:val="1"/>
      <w:numFmt w:val="bullet"/>
      <w:lvlText w:val="•"/>
      <w:lvlJc w:val="left"/>
      <w:pPr>
        <w:tabs>
          <w:tab w:val="num" w:pos="4320"/>
        </w:tabs>
        <w:ind w:left="4320" w:hanging="360"/>
      </w:pPr>
      <w:rPr>
        <w:rFonts w:ascii="Arial" w:hAnsi="Arial" w:hint="default"/>
      </w:rPr>
    </w:lvl>
    <w:lvl w:ilvl="6" w:tplc="F2900D7C" w:tentative="1">
      <w:start w:val="1"/>
      <w:numFmt w:val="bullet"/>
      <w:lvlText w:val="•"/>
      <w:lvlJc w:val="left"/>
      <w:pPr>
        <w:tabs>
          <w:tab w:val="num" w:pos="5040"/>
        </w:tabs>
        <w:ind w:left="5040" w:hanging="360"/>
      </w:pPr>
      <w:rPr>
        <w:rFonts w:ascii="Arial" w:hAnsi="Arial" w:hint="default"/>
      </w:rPr>
    </w:lvl>
    <w:lvl w:ilvl="7" w:tplc="C97C54EC" w:tentative="1">
      <w:start w:val="1"/>
      <w:numFmt w:val="bullet"/>
      <w:lvlText w:val="•"/>
      <w:lvlJc w:val="left"/>
      <w:pPr>
        <w:tabs>
          <w:tab w:val="num" w:pos="5760"/>
        </w:tabs>
        <w:ind w:left="5760" w:hanging="360"/>
      </w:pPr>
      <w:rPr>
        <w:rFonts w:ascii="Arial" w:hAnsi="Arial" w:hint="default"/>
      </w:rPr>
    </w:lvl>
    <w:lvl w:ilvl="8" w:tplc="4B0C91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082AA7"/>
    <w:multiLevelType w:val="hybridMultilevel"/>
    <w:tmpl w:val="30942758"/>
    <w:lvl w:ilvl="0" w:tplc="D494EF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F72E8"/>
    <w:multiLevelType w:val="hybridMultilevel"/>
    <w:tmpl w:val="16AAD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0C16F1"/>
    <w:multiLevelType w:val="hybridMultilevel"/>
    <w:tmpl w:val="C5B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E2F0628"/>
    <w:multiLevelType w:val="hybridMultilevel"/>
    <w:tmpl w:val="A6C8B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C61D76"/>
    <w:multiLevelType w:val="hybridMultilevel"/>
    <w:tmpl w:val="8A3EF3BE"/>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5087D"/>
    <w:multiLevelType w:val="hybridMultilevel"/>
    <w:tmpl w:val="23B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1547F"/>
    <w:multiLevelType w:val="hybridMultilevel"/>
    <w:tmpl w:val="2D3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8" w15:restartNumberingAfterBreak="0">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B13834"/>
    <w:multiLevelType w:val="hybridMultilevel"/>
    <w:tmpl w:val="E1D2E520"/>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455981"/>
    <w:multiLevelType w:val="hybridMultilevel"/>
    <w:tmpl w:val="CA768CB6"/>
    <w:lvl w:ilvl="0" w:tplc="EB20B6B2">
      <w:numFmt w:val="bullet"/>
      <w:lvlText w:val="-"/>
      <w:lvlJc w:val="left"/>
      <w:pPr>
        <w:ind w:left="1028" w:hanging="360"/>
      </w:pPr>
      <w:rPr>
        <w:rFonts w:ascii="Times New Roman" w:eastAsia="SimSu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num w:numId="1">
    <w:abstractNumId w:val="29"/>
  </w:num>
  <w:num w:numId="2">
    <w:abstractNumId w:val="46"/>
  </w:num>
  <w:num w:numId="3">
    <w:abstractNumId w:val="43"/>
  </w:num>
  <w:num w:numId="4">
    <w:abstractNumId w:val="19"/>
  </w:num>
  <w:num w:numId="5">
    <w:abstractNumId w:val="26"/>
  </w:num>
  <w:num w:numId="6">
    <w:abstractNumId w:val="47"/>
  </w:num>
  <w:num w:numId="7">
    <w:abstractNumId w:val="6"/>
  </w:num>
  <w:num w:numId="8">
    <w:abstractNumId w:val="4"/>
  </w:num>
  <w:num w:numId="9">
    <w:abstractNumId w:val="34"/>
  </w:num>
  <w:num w:numId="10">
    <w:abstractNumId w:val="16"/>
  </w:num>
  <w:num w:numId="11">
    <w:abstractNumId w:val="41"/>
  </w:num>
  <w:num w:numId="12">
    <w:abstractNumId w:val="21"/>
  </w:num>
  <w:num w:numId="13">
    <w:abstractNumId w:val="35"/>
  </w:num>
  <w:num w:numId="14">
    <w:abstractNumId w:val="42"/>
  </w:num>
  <w:num w:numId="15">
    <w:abstractNumId w:val="38"/>
  </w:num>
  <w:num w:numId="16">
    <w:abstractNumId w:val="10"/>
  </w:num>
  <w:num w:numId="17">
    <w:abstractNumId w:val="22"/>
  </w:num>
  <w:num w:numId="18">
    <w:abstractNumId w:val="43"/>
  </w:num>
  <w:num w:numId="19">
    <w:abstractNumId w:val="43"/>
  </w:num>
  <w:num w:numId="20">
    <w:abstractNumId w:val="43"/>
  </w:num>
  <w:num w:numId="21">
    <w:abstractNumId w:val="43"/>
  </w:num>
  <w:num w:numId="22">
    <w:abstractNumId w:val="31"/>
  </w:num>
  <w:num w:numId="23">
    <w:abstractNumId w:val="13"/>
  </w:num>
  <w:num w:numId="24">
    <w:abstractNumId w:val="39"/>
  </w:num>
  <w:num w:numId="25">
    <w:abstractNumId w:val="9"/>
  </w:num>
  <w:num w:numId="26">
    <w:abstractNumId w:val="3"/>
  </w:num>
  <w:num w:numId="27">
    <w:abstractNumId w:val="43"/>
  </w:num>
  <w:num w:numId="28">
    <w:abstractNumId w:val="49"/>
  </w:num>
  <w:num w:numId="29">
    <w:abstractNumId w:val="43"/>
  </w:num>
  <w:num w:numId="30">
    <w:abstractNumId w:val="43"/>
  </w:num>
  <w:num w:numId="31">
    <w:abstractNumId w:val="43"/>
  </w:num>
  <w:num w:numId="32">
    <w:abstractNumId w:val="43"/>
  </w:num>
  <w:num w:numId="33">
    <w:abstractNumId w:val="27"/>
  </w:num>
  <w:num w:numId="34">
    <w:abstractNumId w:val="37"/>
  </w:num>
  <w:num w:numId="35">
    <w:abstractNumId w:val="43"/>
  </w:num>
  <w:num w:numId="36">
    <w:abstractNumId w:val="30"/>
  </w:num>
  <w:num w:numId="37">
    <w:abstractNumId w:val="15"/>
  </w:num>
  <w:num w:numId="38">
    <w:abstractNumId w:val="25"/>
  </w:num>
  <w:num w:numId="39">
    <w:abstractNumId w:val="28"/>
  </w:num>
  <w:num w:numId="40">
    <w:abstractNumId w:val="25"/>
  </w:num>
  <w:num w:numId="41">
    <w:abstractNumId w:val="23"/>
  </w:num>
  <w:num w:numId="42">
    <w:abstractNumId w:val="5"/>
  </w:num>
  <w:num w:numId="43">
    <w:abstractNumId w:val="40"/>
  </w:num>
  <w:num w:numId="44">
    <w:abstractNumId w:val="45"/>
  </w:num>
  <w:num w:numId="45">
    <w:abstractNumId w:val="7"/>
  </w:num>
  <w:num w:numId="46">
    <w:abstractNumId w:val="11"/>
  </w:num>
  <w:num w:numId="47">
    <w:abstractNumId w:val="1"/>
  </w:num>
  <w:num w:numId="48">
    <w:abstractNumId w:val="50"/>
  </w:num>
  <w:num w:numId="49">
    <w:abstractNumId w:val="32"/>
  </w:num>
  <w:num w:numId="50">
    <w:abstractNumId w:val="12"/>
  </w:num>
  <w:num w:numId="51">
    <w:abstractNumId w:val="43"/>
  </w:num>
  <w:num w:numId="52">
    <w:abstractNumId w:val="2"/>
  </w:num>
  <w:num w:numId="53">
    <w:abstractNumId w:val="48"/>
  </w:num>
  <w:num w:numId="54">
    <w:abstractNumId w:val="24"/>
  </w:num>
  <w:num w:numId="55">
    <w:abstractNumId w:val="44"/>
  </w:num>
  <w:num w:numId="56">
    <w:abstractNumId w:val="17"/>
  </w:num>
  <w:num w:numId="57">
    <w:abstractNumId w:val="14"/>
  </w:num>
  <w:num w:numId="58">
    <w:abstractNumId w:val="18"/>
  </w:num>
  <w:num w:numId="59">
    <w:abstractNumId w:val="36"/>
  </w:num>
  <w:num w:numId="60">
    <w:abstractNumId w:val="8"/>
  </w:num>
  <w:num w:numId="61">
    <w:abstractNumId w:val="33"/>
  </w:num>
  <w:num w:numId="62">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3A1"/>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AD0"/>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57AD1"/>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7F"/>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58"/>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42C"/>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AA5"/>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15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DA"/>
    <w:rsid w:val="001442E6"/>
    <w:rsid w:val="001443C7"/>
    <w:rsid w:val="00144548"/>
    <w:rsid w:val="001447DF"/>
    <w:rsid w:val="00144ECD"/>
    <w:rsid w:val="00145132"/>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94E"/>
    <w:rsid w:val="00157C7F"/>
    <w:rsid w:val="00157FA1"/>
    <w:rsid w:val="00160577"/>
    <w:rsid w:val="001605B6"/>
    <w:rsid w:val="00160638"/>
    <w:rsid w:val="00160B11"/>
    <w:rsid w:val="00160D12"/>
    <w:rsid w:val="00161D9B"/>
    <w:rsid w:val="00161F67"/>
    <w:rsid w:val="00162BA6"/>
    <w:rsid w:val="00162E11"/>
    <w:rsid w:val="0016390A"/>
    <w:rsid w:val="0016399F"/>
    <w:rsid w:val="00163A7C"/>
    <w:rsid w:val="00163BD1"/>
    <w:rsid w:val="00163DED"/>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00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05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2F20"/>
    <w:rsid w:val="001E3105"/>
    <w:rsid w:val="001E396A"/>
    <w:rsid w:val="001E3C3F"/>
    <w:rsid w:val="001E3FE4"/>
    <w:rsid w:val="001E41F3"/>
    <w:rsid w:val="001E4CB9"/>
    <w:rsid w:val="001E4CEC"/>
    <w:rsid w:val="001E5017"/>
    <w:rsid w:val="001E5142"/>
    <w:rsid w:val="001E57DE"/>
    <w:rsid w:val="001E5869"/>
    <w:rsid w:val="001E59DB"/>
    <w:rsid w:val="001E62BF"/>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00E"/>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3CFA"/>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887"/>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B32"/>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51C"/>
    <w:rsid w:val="00241A62"/>
    <w:rsid w:val="00241E1B"/>
    <w:rsid w:val="00242057"/>
    <w:rsid w:val="0024250B"/>
    <w:rsid w:val="002432E0"/>
    <w:rsid w:val="002437A0"/>
    <w:rsid w:val="002438FF"/>
    <w:rsid w:val="00243CE7"/>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90B"/>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6CC"/>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A6ED5"/>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CC5"/>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5C0"/>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56A"/>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4964"/>
    <w:rsid w:val="00385C58"/>
    <w:rsid w:val="003862BE"/>
    <w:rsid w:val="0038647B"/>
    <w:rsid w:val="00386561"/>
    <w:rsid w:val="00386BEB"/>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37A"/>
    <w:rsid w:val="003A24F3"/>
    <w:rsid w:val="003A2848"/>
    <w:rsid w:val="003A306A"/>
    <w:rsid w:val="003A3222"/>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5F02"/>
    <w:rsid w:val="003A61E2"/>
    <w:rsid w:val="003A62C0"/>
    <w:rsid w:val="003A6382"/>
    <w:rsid w:val="003A64DF"/>
    <w:rsid w:val="003A69F6"/>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7FB"/>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234"/>
    <w:rsid w:val="003B56A2"/>
    <w:rsid w:val="003B5B17"/>
    <w:rsid w:val="003B6404"/>
    <w:rsid w:val="003B6511"/>
    <w:rsid w:val="003B65DD"/>
    <w:rsid w:val="003B674F"/>
    <w:rsid w:val="003B706F"/>
    <w:rsid w:val="003B7411"/>
    <w:rsid w:val="003B78FB"/>
    <w:rsid w:val="003B7949"/>
    <w:rsid w:val="003B79E8"/>
    <w:rsid w:val="003B7A10"/>
    <w:rsid w:val="003C02C2"/>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63"/>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1DC"/>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D51"/>
    <w:rsid w:val="00424E3C"/>
    <w:rsid w:val="00424FB5"/>
    <w:rsid w:val="00425AC3"/>
    <w:rsid w:val="00426C90"/>
    <w:rsid w:val="004272ED"/>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10"/>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20CA"/>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2F0"/>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2"/>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0D2"/>
    <w:rsid w:val="004E7649"/>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C7"/>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8D3"/>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5397"/>
    <w:rsid w:val="005360AD"/>
    <w:rsid w:val="005360BA"/>
    <w:rsid w:val="005364F0"/>
    <w:rsid w:val="00536630"/>
    <w:rsid w:val="00536745"/>
    <w:rsid w:val="00536BD6"/>
    <w:rsid w:val="00536C75"/>
    <w:rsid w:val="00536D20"/>
    <w:rsid w:val="00537362"/>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14A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1D60"/>
    <w:rsid w:val="005821B9"/>
    <w:rsid w:val="00582AB6"/>
    <w:rsid w:val="0058354A"/>
    <w:rsid w:val="0058368D"/>
    <w:rsid w:val="005837AD"/>
    <w:rsid w:val="00583BE9"/>
    <w:rsid w:val="00583C20"/>
    <w:rsid w:val="00583CAF"/>
    <w:rsid w:val="00584045"/>
    <w:rsid w:val="0058419E"/>
    <w:rsid w:val="0058474A"/>
    <w:rsid w:val="00584770"/>
    <w:rsid w:val="00584A98"/>
    <w:rsid w:val="0058527B"/>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A7D4E"/>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3A5"/>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3D"/>
    <w:rsid w:val="005C538F"/>
    <w:rsid w:val="005C6288"/>
    <w:rsid w:val="005C676D"/>
    <w:rsid w:val="005C6B1D"/>
    <w:rsid w:val="005C6F07"/>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C7"/>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86D"/>
    <w:rsid w:val="00600C6E"/>
    <w:rsid w:val="00600D3F"/>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40F"/>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BFD"/>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89"/>
    <w:rsid w:val="0063558F"/>
    <w:rsid w:val="006356AE"/>
    <w:rsid w:val="00635926"/>
    <w:rsid w:val="006362AA"/>
    <w:rsid w:val="0063631E"/>
    <w:rsid w:val="00636381"/>
    <w:rsid w:val="00636C9E"/>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73B"/>
    <w:rsid w:val="006518A4"/>
    <w:rsid w:val="00651E22"/>
    <w:rsid w:val="00652101"/>
    <w:rsid w:val="0065211E"/>
    <w:rsid w:val="00652422"/>
    <w:rsid w:val="00652931"/>
    <w:rsid w:val="00652A15"/>
    <w:rsid w:val="00652D8E"/>
    <w:rsid w:val="00652E67"/>
    <w:rsid w:val="00653015"/>
    <w:rsid w:val="006530FD"/>
    <w:rsid w:val="00653315"/>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489"/>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B4D"/>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17"/>
    <w:rsid w:val="006D7AF3"/>
    <w:rsid w:val="006D7BE0"/>
    <w:rsid w:val="006D7F7F"/>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17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DB8"/>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0D80"/>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C80"/>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1501"/>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01A"/>
    <w:rsid w:val="0074732E"/>
    <w:rsid w:val="0074745B"/>
    <w:rsid w:val="00747B1A"/>
    <w:rsid w:val="00747E74"/>
    <w:rsid w:val="0075031E"/>
    <w:rsid w:val="00750866"/>
    <w:rsid w:val="007508B0"/>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C50"/>
    <w:rsid w:val="00782E08"/>
    <w:rsid w:val="00783A51"/>
    <w:rsid w:val="00783E53"/>
    <w:rsid w:val="007841AE"/>
    <w:rsid w:val="0078459C"/>
    <w:rsid w:val="007847C7"/>
    <w:rsid w:val="00784E80"/>
    <w:rsid w:val="00785302"/>
    <w:rsid w:val="00785330"/>
    <w:rsid w:val="007854FE"/>
    <w:rsid w:val="00785647"/>
    <w:rsid w:val="0078567D"/>
    <w:rsid w:val="007856EB"/>
    <w:rsid w:val="007861BA"/>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ABC"/>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7E"/>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1F96"/>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0BB4"/>
    <w:rsid w:val="007D1711"/>
    <w:rsid w:val="007D1968"/>
    <w:rsid w:val="007D1F33"/>
    <w:rsid w:val="007D2687"/>
    <w:rsid w:val="007D29B0"/>
    <w:rsid w:val="007D2B40"/>
    <w:rsid w:val="007D2C7D"/>
    <w:rsid w:val="007D2CDE"/>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1FB"/>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642"/>
    <w:rsid w:val="008659C6"/>
    <w:rsid w:val="00865A5F"/>
    <w:rsid w:val="00865B50"/>
    <w:rsid w:val="00865BD8"/>
    <w:rsid w:val="00865EA0"/>
    <w:rsid w:val="00865F2C"/>
    <w:rsid w:val="008663C5"/>
    <w:rsid w:val="00866C42"/>
    <w:rsid w:val="00866DB5"/>
    <w:rsid w:val="00866E4F"/>
    <w:rsid w:val="008672A7"/>
    <w:rsid w:val="00867712"/>
    <w:rsid w:val="00867F70"/>
    <w:rsid w:val="008704EE"/>
    <w:rsid w:val="008704F5"/>
    <w:rsid w:val="00870500"/>
    <w:rsid w:val="00870804"/>
    <w:rsid w:val="00870808"/>
    <w:rsid w:val="008712AD"/>
    <w:rsid w:val="0087131B"/>
    <w:rsid w:val="008714DD"/>
    <w:rsid w:val="0087221E"/>
    <w:rsid w:val="0087337B"/>
    <w:rsid w:val="008735F2"/>
    <w:rsid w:val="0087378D"/>
    <w:rsid w:val="00873A46"/>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C1D"/>
    <w:rsid w:val="00895FD5"/>
    <w:rsid w:val="0089600C"/>
    <w:rsid w:val="00896609"/>
    <w:rsid w:val="00896C5B"/>
    <w:rsid w:val="00896FE8"/>
    <w:rsid w:val="00897438"/>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5C1"/>
    <w:rsid w:val="008D26C7"/>
    <w:rsid w:val="008D2729"/>
    <w:rsid w:val="008D3962"/>
    <w:rsid w:val="008D3F68"/>
    <w:rsid w:val="008D41A6"/>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5A3"/>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D9E"/>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460"/>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4FA"/>
    <w:rsid w:val="009A35D4"/>
    <w:rsid w:val="009A3B8C"/>
    <w:rsid w:val="009A40F9"/>
    <w:rsid w:val="009A413C"/>
    <w:rsid w:val="009A414B"/>
    <w:rsid w:val="009A42B5"/>
    <w:rsid w:val="009A43C8"/>
    <w:rsid w:val="009A4CC8"/>
    <w:rsid w:val="009A5DD9"/>
    <w:rsid w:val="009A5EBE"/>
    <w:rsid w:val="009A60F7"/>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39"/>
    <w:rsid w:val="009C17C0"/>
    <w:rsid w:val="009C1C73"/>
    <w:rsid w:val="009C20FF"/>
    <w:rsid w:val="009C2581"/>
    <w:rsid w:val="009C27A2"/>
    <w:rsid w:val="009C2922"/>
    <w:rsid w:val="009C2BAA"/>
    <w:rsid w:val="009C2C9C"/>
    <w:rsid w:val="009C3247"/>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49"/>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6F5A"/>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9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5E37"/>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22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7A0"/>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5D0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D3E"/>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058"/>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A26"/>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BE4"/>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21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1BB"/>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C27"/>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0CF"/>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0B4"/>
    <w:rsid w:val="00B92355"/>
    <w:rsid w:val="00B92388"/>
    <w:rsid w:val="00B923EA"/>
    <w:rsid w:val="00B92577"/>
    <w:rsid w:val="00B92E76"/>
    <w:rsid w:val="00B931BF"/>
    <w:rsid w:val="00B935A5"/>
    <w:rsid w:val="00B93899"/>
    <w:rsid w:val="00B93B5F"/>
    <w:rsid w:val="00B940B4"/>
    <w:rsid w:val="00B940C5"/>
    <w:rsid w:val="00B94220"/>
    <w:rsid w:val="00B946BE"/>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52"/>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2D48"/>
    <w:rsid w:val="00BF319B"/>
    <w:rsid w:val="00BF31EE"/>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712"/>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7BE"/>
    <w:rsid w:val="00C12BFC"/>
    <w:rsid w:val="00C13153"/>
    <w:rsid w:val="00C13A56"/>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9E1"/>
    <w:rsid w:val="00C36C4F"/>
    <w:rsid w:val="00C36CC5"/>
    <w:rsid w:val="00C36D46"/>
    <w:rsid w:val="00C3712E"/>
    <w:rsid w:val="00C37474"/>
    <w:rsid w:val="00C377DF"/>
    <w:rsid w:val="00C37961"/>
    <w:rsid w:val="00C37E51"/>
    <w:rsid w:val="00C41099"/>
    <w:rsid w:val="00C41C74"/>
    <w:rsid w:val="00C422C6"/>
    <w:rsid w:val="00C428C7"/>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BB2"/>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CCA"/>
    <w:rsid w:val="00C86EE8"/>
    <w:rsid w:val="00C871E6"/>
    <w:rsid w:val="00C8739F"/>
    <w:rsid w:val="00C873F9"/>
    <w:rsid w:val="00C8741D"/>
    <w:rsid w:val="00C87608"/>
    <w:rsid w:val="00C87C67"/>
    <w:rsid w:val="00C87F19"/>
    <w:rsid w:val="00C9049E"/>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0F14"/>
    <w:rsid w:val="00CA20F9"/>
    <w:rsid w:val="00CA2635"/>
    <w:rsid w:val="00CA2789"/>
    <w:rsid w:val="00CA2B1E"/>
    <w:rsid w:val="00CA2C00"/>
    <w:rsid w:val="00CA2E00"/>
    <w:rsid w:val="00CA32DA"/>
    <w:rsid w:val="00CA398E"/>
    <w:rsid w:val="00CA3A22"/>
    <w:rsid w:val="00CA3C4E"/>
    <w:rsid w:val="00CA3E43"/>
    <w:rsid w:val="00CA42E3"/>
    <w:rsid w:val="00CA4C75"/>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D49"/>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570"/>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6C91"/>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C69"/>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46"/>
    <w:rsid w:val="00D25EA3"/>
    <w:rsid w:val="00D260B1"/>
    <w:rsid w:val="00D27B27"/>
    <w:rsid w:val="00D27E28"/>
    <w:rsid w:val="00D30982"/>
    <w:rsid w:val="00D30EF6"/>
    <w:rsid w:val="00D310A9"/>
    <w:rsid w:val="00D31830"/>
    <w:rsid w:val="00D31CD5"/>
    <w:rsid w:val="00D325D3"/>
    <w:rsid w:val="00D326FC"/>
    <w:rsid w:val="00D3275C"/>
    <w:rsid w:val="00D32A01"/>
    <w:rsid w:val="00D32CFC"/>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C6B"/>
    <w:rsid w:val="00D47DBE"/>
    <w:rsid w:val="00D47FDB"/>
    <w:rsid w:val="00D501E7"/>
    <w:rsid w:val="00D509FA"/>
    <w:rsid w:val="00D50C2C"/>
    <w:rsid w:val="00D51386"/>
    <w:rsid w:val="00D513B0"/>
    <w:rsid w:val="00D514E9"/>
    <w:rsid w:val="00D51884"/>
    <w:rsid w:val="00D51A8C"/>
    <w:rsid w:val="00D51EB5"/>
    <w:rsid w:val="00D51FF7"/>
    <w:rsid w:val="00D52071"/>
    <w:rsid w:val="00D5208A"/>
    <w:rsid w:val="00D5233D"/>
    <w:rsid w:val="00D52382"/>
    <w:rsid w:val="00D5286C"/>
    <w:rsid w:val="00D53599"/>
    <w:rsid w:val="00D53674"/>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545"/>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ED1"/>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6BC"/>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ABD"/>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796"/>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9E2"/>
    <w:rsid w:val="00DD7D37"/>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6F5"/>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958"/>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57F33"/>
    <w:rsid w:val="00E60990"/>
    <w:rsid w:val="00E60A3C"/>
    <w:rsid w:val="00E60DEC"/>
    <w:rsid w:val="00E6132B"/>
    <w:rsid w:val="00E61362"/>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E38"/>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727"/>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2D"/>
    <w:rsid w:val="00EB7EF8"/>
    <w:rsid w:val="00EC12BA"/>
    <w:rsid w:val="00EC1969"/>
    <w:rsid w:val="00EC1FB2"/>
    <w:rsid w:val="00EC20BC"/>
    <w:rsid w:val="00EC2546"/>
    <w:rsid w:val="00EC2664"/>
    <w:rsid w:val="00EC26A0"/>
    <w:rsid w:val="00EC2831"/>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6D3D"/>
    <w:rsid w:val="00EE701F"/>
    <w:rsid w:val="00EE77CA"/>
    <w:rsid w:val="00EE7966"/>
    <w:rsid w:val="00EE7BE7"/>
    <w:rsid w:val="00EE7CAE"/>
    <w:rsid w:val="00EE7D29"/>
    <w:rsid w:val="00EE7FE6"/>
    <w:rsid w:val="00EF033F"/>
    <w:rsid w:val="00EF084E"/>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07BF5"/>
    <w:rsid w:val="00F1010E"/>
    <w:rsid w:val="00F10456"/>
    <w:rsid w:val="00F10F9C"/>
    <w:rsid w:val="00F10F9E"/>
    <w:rsid w:val="00F1165B"/>
    <w:rsid w:val="00F11955"/>
    <w:rsid w:val="00F1244C"/>
    <w:rsid w:val="00F12C4A"/>
    <w:rsid w:val="00F12D76"/>
    <w:rsid w:val="00F12FB1"/>
    <w:rsid w:val="00F13593"/>
    <w:rsid w:val="00F13AFA"/>
    <w:rsid w:val="00F13C63"/>
    <w:rsid w:val="00F13E7D"/>
    <w:rsid w:val="00F14741"/>
    <w:rsid w:val="00F1507F"/>
    <w:rsid w:val="00F153D2"/>
    <w:rsid w:val="00F153FF"/>
    <w:rsid w:val="00F15984"/>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2CD"/>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4DAF"/>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2E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EED"/>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8B0"/>
    <w:rsid w:val="00FE599F"/>
    <w:rsid w:val="00FE61D2"/>
    <w:rsid w:val="00FE6368"/>
    <w:rsid w:val="00FE6D69"/>
    <w:rsid w:val="00FE72E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5549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CDA90-C992-4A36-8BE8-97467E3E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2016-08-12T13:57:00Z</dcterms:modified>
</cp:coreProperties>
</file>